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2295"/>
        </w:tabs>
        <w:adjustRightInd w:val="0"/>
        <w:snapToGrid w:val="0"/>
        <w:spacing w:line="360" w:lineRule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附件1</w:t>
      </w:r>
    </w:p>
    <w:p>
      <w:pPr>
        <w:tabs>
          <w:tab w:val="left" w:pos="360"/>
          <w:tab w:val="left" w:pos="2295"/>
        </w:tabs>
        <w:adjustRightInd w:val="0"/>
        <w:snapToGrid w:val="0"/>
        <w:spacing w:line="360" w:lineRule="auto"/>
        <w:jc w:val="center"/>
        <w:rPr>
          <w:rFonts w:ascii="华文中宋" w:hAnsi="华文中宋" w:eastAsia="华文中宋"/>
          <w:b/>
          <w:color w:val="00000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b/>
          <w:color w:val="000000"/>
          <w:sz w:val="36"/>
          <w:szCs w:val="36"/>
        </w:rPr>
        <w:t>单用途商业预付卡行业分类表</w:t>
      </w:r>
    </w:p>
    <w:bookmarkEnd w:id="0"/>
    <w:tbl>
      <w:tblPr>
        <w:tblStyle w:val="3"/>
        <w:tblW w:w="9034" w:type="dxa"/>
        <w:jc w:val="center"/>
        <w:tblInd w:w="25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2126"/>
        <w:gridCol w:w="47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20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  <w:t>零售业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综合零售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百货、超市、杂货店、便利店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220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专门零售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食品、饮料、烟草制品、纺织、服装、日用品、文化体育用品及器材、医药及医疗器材、汽车及零配件、摩托车及零配件、机动车燃料、家用电器及电子产品、五金、家具、室内装饰材料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20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无店铺及其他零售业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互联网零售、邮购、电视零售、旧货零售、生活用燃料零售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20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  <w:t>住宿和餐饮业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住宿业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旅游饭店、一般饭店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20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餐饮业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正餐服务、快餐服务、饮料和冷饮服务、餐饮配送服务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20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  <w:t>居民服务业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居民服务业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家庭服务、洗染服务、理发及美容服务、洗浴服务、保健服务、婚姻服务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20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修理业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汽车摩托车修理与维护、计算机和办公设备维修、家用电器维修、其他日用产品修理业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20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其他服务业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清洁服务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E2D89"/>
    <w:rsid w:val="350E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普宁市工业和信息化局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2022-01-07T04:30:00Z</dcterms:created>
  <dc:creator>Administrator</dc:creator>
  <cp:lastModifiedBy>Administrator</cp:lastModifiedBy>
  <dcterms:modified xsi:type="dcterms:W3CDTF">2022-01-07T04:31:16Z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