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关于上报《广东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农垦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大坪农场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桐树下村村道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路灯安装工程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实施方案》的请示</w:t>
      </w:r>
    </w:p>
    <w:p>
      <w:pPr>
        <w:rPr>
          <w:rFonts w:hint="eastAsia" w:ascii="宋体"/>
          <w:b/>
          <w:sz w:val="24"/>
        </w:rPr>
      </w:pPr>
    </w:p>
    <w:p>
      <w:pPr>
        <w:rPr>
          <w:rFonts w:hint="eastAsia" w:ascii="宋体"/>
          <w:b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广东省揭阳农垦局：</w:t>
      </w:r>
    </w:p>
    <w:p>
      <w:pPr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《广东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农垦</w:t>
      </w:r>
      <w:r>
        <w:rPr>
          <w:rFonts w:hint="eastAsia" w:ascii="仿宋_GB2312" w:hAnsi="仿宋_GB2312" w:eastAsia="仿宋_GB2312" w:cs="仿宋_GB2312"/>
          <w:sz w:val="32"/>
          <w:szCs w:val="32"/>
        </w:rPr>
        <w:t>大坪农场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桐树下村村道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路灯安装工程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实施方案》已制订完毕，现已上报。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请示可否，请批复。</w:t>
      </w:r>
    </w:p>
    <w:p>
      <w:pPr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1278" w:leftChars="304" w:hanging="640" w:hanging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: 《广东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农垦</w:t>
      </w:r>
      <w:r>
        <w:rPr>
          <w:rFonts w:hint="eastAsia" w:ascii="仿宋_GB2312" w:hAnsi="仿宋_GB2312" w:eastAsia="仿宋_GB2312" w:cs="仿宋_GB2312"/>
          <w:sz w:val="32"/>
          <w:szCs w:val="32"/>
        </w:rPr>
        <w:t>大坪农场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桐树下村村道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路灯安装工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实施方案》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广东</w:t>
      </w:r>
      <w:r>
        <w:rPr>
          <w:rFonts w:hint="eastAsia" w:ascii="仿宋_GB2312" w:eastAsia="仿宋_GB2312"/>
          <w:sz w:val="32"/>
          <w:szCs w:val="32"/>
          <w:lang w:eastAsia="zh-CN"/>
        </w:rPr>
        <w:t>农垦</w:t>
      </w:r>
      <w:r>
        <w:rPr>
          <w:rFonts w:hint="eastAsia" w:ascii="仿宋_GB2312" w:eastAsia="仿宋_GB2312"/>
          <w:sz w:val="32"/>
          <w:szCs w:val="32"/>
        </w:rPr>
        <w:t>大坪农场</w:t>
      </w:r>
      <w:r>
        <w:rPr>
          <w:rFonts w:hint="eastAsia" w:ascii="仿宋_GB2312" w:eastAsia="仿宋_GB2312"/>
          <w:sz w:val="32"/>
          <w:szCs w:val="32"/>
          <w:lang w:eastAsia="zh-CN"/>
        </w:rPr>
        <w:t>有限公司</w:t>
      </w:r>
    </w:p>
    <w:p>
      <w:pPr>
        <w:spacing w:line="560" w:lineRule="exact"/>
        <w:ind w:firstLine="5120" w:firstLineChars="160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</w:p>
    <w:p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6985</wp:posOffset>
                </wp:positionV>
                <wp:extent cx="580326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7425" y="8449945"/>
                          <a:ext cx="5803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0.55pt;height:0pt;width:456.95pt;z-index:251658240;mso-width-relative:page;mso-height-relative:page;" filled="f" stroked="t" coordsize="21600,21600" o:gfxdata="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cy02tIAAAAFAQAADwAAAAAAAAABACAAAAAiAAAAZHJzL2Rvd25yZXYueG1sUEsBAhQAFAAAAAgA&#10;h07iQEGb0C3yAQAAvAMAAA4AAAAAAAAAAQAgAAAAIQ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抄送：公司领导班子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3" w:name="_GoBack"/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45720</wp:posOffset>
                </wp:positionV>
                <wp:extent cx="5864225" cy="635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74090" y="8742680"/>
                          <a:ext cx="586422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3.6pt;height:0.5pt;width:461.75pt;z-index:251659264;mso-width-relative:page;mso-height-relative:page;" filled="f" stroked="t" coordsize="21600,21600" o:gfxdata="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cU0VDTAAAABQEAAA8AAAAAAAAAAQAgAAAAIgAAAGRycy9kb3ducmV2LnhtbFBLAQIU&#10;ABQAAAAIAIdO4kBFPmp1+AEAAMkDAAAOAAAAAAAAAAEAIAAAACI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广东农垦大坪农场有限公司综合部      2022年6月29日印发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农垦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大坪农场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桐树下村村道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路灯安装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工程实施方案</w:t>
      </w:r>
    </w:p>
    <w:p>
      <w:pPr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为加快推进社会主义新农村建设步伐，通过建设广东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农垦</w:t>
      </w:r>
      <w:r>
        <w:rPr>
          <w:rFonts w:hint="eastAsia" w:ascii="仿宋_GB2312" w:hAnsi="仿宋_GB2312" w:eastAsia="仿宋_GB2312" w:cs="仿宋_GB2312"/>
          <w:sz w:val="32"/>
          <w:szCs w:val="32"/>
        </w:rPr>
        <w:t>大坪农场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桐树下村村道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路灯安装工程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，切实改善农村基础设施，确保村民、学生以及车辆的交通安全。根据揭阳农垦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工作部署，为保证20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年农村综合改革转移支付各项工作的有序开展，特制定本实施方案。</w:t>
      </w:r>
    </w:p>
    <w:p>
      <w:pPr>
        <w:ind w:left="561" w:leftChars="267" w:firstLine="160" w:firstLineChars="5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一、项目建设地点</w:t>
      </w:r>
    </w:p>
    <w:p>
      <w:pPr>
        <w:spacing w:line="360" w:lineRule="auto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项目建设地点：该项目位于大坪农场桐树下村。</w:t>
      </w:r>
    </w:p>
    <w:p>
      <w:pPr>
        <w:spacing w:line="360" w:lineRule="auto"/>
        <w:ind w:firstLine="720" w:firstLineChars="225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二、项目区基本情况</w:t>
      </w:r>
    </w:p>
    <w:p>
      <w:pPr>
        <w:spacing w:line="360" w:lineRule="auto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大坪农场桐树下村村委会隶属于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"https://baike.baidu.com/item/%E5%B9%BF%E4%B8%9C"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广东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"https://baike.baidu.com/item/%E6%99%AE%E5%AE%81%E5%B8%82"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普宁市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大坪农场，位于普宁市区西南51公里处，全村15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人。该村主种水稻、茶叶，盛产青梅、荔枝等。</w:t>
      </w:r>
    </w:p>
    <w:p>
      <w:pPr>
        <w:spacing w:line="360" w:lineRule="auto"/>
        <w:ind w:firstLine="720" w:firstLineChars="225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三、项目建设内容</w:t>
      </w:r>
    </w:p>
    <w:p>
      <w:pPr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主要建设内容：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本项目为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农垦</w:t>
      </w:r>
      <w:r>
        <w:rPr>
          <w:rFonts w:hint="eastAsia" w:ascii="仿宋_GB2312" w:hAnsi="仿宋_GB2312" w:eastAsia="仿宋_GB2312" w:cs="仿宋_GB2312"/>
          <w:sz w:val="32"/>
          <w:szCs w:val="32"/>
        </w:rPr>
        <w:t>大坪农场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桐树下村村道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路灯安装工程，共安装太阳能路灯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35套，路灯共高为7米，路灯为60W。</w:t>
      </w:r>
    </w:p>
    <w:p>
      <w:pPr>
        <w:ind w:firstLine="614" w:firstLineChars="192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四、项目投资总额、资金筹措</w:t>
      </w:r>
    </w:p>
    <w:p>
      <w:pPr>
        <w:spacing w:before="120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（一）项目投资估算</w:t>
      </w:r>
    </w:p>
    <w:p>
      <w:pPr>
        <w:spacing w:before="12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项目总投资为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132101.33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元，其中建安工程造价预算审核为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120349.25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元，其他费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11752.08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before="120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（二）项目资金筹措</w:t>
      </w:r>
    </w:p>
    <w:p>
      <w:pPr>
        <w:spacing w:before="120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项目总投资为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132101.33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元，申请财政奖补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元，自筹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2101.33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before="120"/>
        <w:ind w:firstLine="627" w:firstLineChars="196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五、项目组织管理</w:t>
      </w:r>
    </w:p>
    <w:p>
      <w:pPr>
        <w:spacing w:before="120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项目的组织机构</w:t>
      </w:r>
    </w:p>
    <w:p>
      <w:pPr>
        <w:pStyle w:val="4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立项目管理与建设领导小组，该项目由农场“农村综合改革转移支付”领导小组负责全面管理和指导。同时大坪农场桐树下村村委会成立项目建设领导小组，由村委会成员及村民代表组成，负责项目建设的各项具体实施工作。</w:t>
      </w:r>
    </w:p>
    <w:p>
      <w:pPr>
        <w:pStyle w:val="4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项目领导小组的职责包括：</w:t>
      </w:r>
    </w:p>
    <w:p>
      <w:pPr>
        <w:pStyle w:val="4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（1）项目的总体规划，技术设计和实施方案的制定、审定；</w:t>
      </w:r>
    </w:p>
    <w:p>
      <w:pPr>
        <w:pStyle w:val="4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（2）项目建设的工作计划和资金、物资的安排；</w:t>
      </w:r>
    </w:p>
    <w:p>
      <w:pPr>
        <w:pStyle w:val="4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（3）项目建设的资金筹集、建设进度的检查、审定和组织验收；</w:t>
      </w:r>
    </w:p>
    <w:p>
      <w:pPr>
        <w:pStyle w:val="4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（4）收集、整理有关项目建设的资料和完成向上一级有关工作汇报；</w:t>
      </w:r>
    </w:p>
    <w:p>
      <w:pPr>
        <w:pStyle w:val="4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（5）做好筹劳配套资金筹集,宣传发动工作。</w:t>
      </w:r>
    </w:p>
    <w:p>
      <w:pPr>
        <w:pStyle w:val="4"/>
        <w:ind w:firstLine="800" w:firstLineChars="250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项目管理保障制度</w:t>
      </w:r>
    </w:p>
    <w:p>
      <w:pPr>
        <w:pStyle w:val="4"/>
        <w:ind w:firstLine="675" w:firstLineChars="21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实施工程质量责任制和责任追究制度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建立工程质量行政领导人责任制、项目法人责任制、参建单位工程质量领导人责任制和工程质量责任制，若发生重大工程质量事故，除追究直接责任人的责任外，还要追究单位领导人的领导责任。</w:t>
      </w:r>
    </w:p>
    <w:p>
      <w:pPr>
        <w:pStyle w:val="4"/>
        <w:ind w:firstLine="64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健全工程管理制度，确保工程的质量和效益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1）严格实行合同管理制。建设工程的设计、施工、设备材料采购都要依法订立合同。各类合同有明确的质量要求、履约担保和违约处罚条款。违约方要承担相应的法律责任。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）严格实行工序和项目竣工验收制度。项目建成后按照国家的有关规定进行严格的竣工验收，项目竣工验收合格后，方可交付使用。对未经验收或验收不合格就交付使用的，要追究项目法定代表人的责任，造成重大损失的，要追究其法律责任。</w:t>
      </w:r>
    </w:p>
    <w:p>
      <w:pPr>
        <w:pStyle w:val="4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（3）加强资金管理，确保资金足额到位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切实保证国家投资专款专用，保证自筹资金足额到位，不挤占挪用项目建设资金，不得擅自变更建设内容和投资规模，对项目资金使用情况定期监督检查。</w:t>
      </w:r>
    </w:p>
    <w:p>
      <w:pPr>
        <w:pStyle w:val="4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（4）设立监督机制，确保工程质量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确保工程质量，成立工程领导小组。</w:t>
      </w:r>
      <w:bookmarkStart w:id="0" w:name="_Toc68615917"/>
      <w:bookmarkStart w:id="1" w:name="_Toc35660104"/>
      <w:bookmarkStart w:id="2" w:name="_Toc35659640"/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（5）做好项目投入使用后的管理工作</w:t>
      </w:r>
      <w:bookmarkEnd w:id="0"/>
      <w:bookmarkEnd w:id="1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制订项目建设后的管护制度，确保项目使用和运行。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六、项目建设期限与进度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该项目工程建设期为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-12月，项目建设期限与进度分为二个阶段。第一阶段为项目建设筹备期，时间为20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月至11月，主要工作是做好项目建设前期工作，即召开项目建设代表会议提出建设方案、勘测、初步设计、施工图设计、预算及建设方案的制订等；第二阶段为项目实施期，时间为20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年11月至12月，主要是做好项目的招投标、施工建设、竣工验收、资料归档等工作。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农垦</w:t>
      </w:r>
      <w:r>
        <w:rPr>
          <w:rFonts w:hint="eastAsia" w:ascii="仿宋_GB2312" w:hAnsi="仿宋_GB2312" w:eastAsia="仿宋_GB2312" w:cs="仿宋_GB2312"/>
          <w:sz w:val="32"/>
          <w:szCs w:val="32"/>
        </w:rPr>
        <w:t>大坪农场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有限公司</w:t>
      </w:r>
    </w:p>
    <w:p>
      <w:pPr>
        <w:wordWrap w:val="0"/>
        <w:spacing w:line="560" w:lineRule="exact"/>
        <w:ind w:firstLine="5120" w:firstLineChars="16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jc w:val="right"/>
      </w:pPr>
    </w:p>
    <w:p>
      <w:pPr>
        <w:pStyle w:val="2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519" w:bottom="1440" w:left="151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212DA"/>
    <w:rsid w:val="0942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1"/>
    <w:unhideWhenUsed/>
    <w:qFormat/>
    <w:uiPriority w:val="99"/>
    <w:pPr>
      <w:autoSpaceDE w:val="0"/>
      <w:autoSpaceDN w:val="0"/>
      <w:adjustRightInd w:val="0"/>
      <w:spacing w:line="360" w:lineRule="auto"/>
      <w:ind w:firstLine="200" w:firstLineChars="200"/>
      <w:jc w:val="left"/>
    </w:pPr>
    <w:rPr>
      <w:color w:val="0000FF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2022-08-04T08:28:00Z</dcterms:created>
  <dc:creator>Administrator</dc:creator>
  <cp:lastModifiedBy>Administrator</cp:lastModifiedBy>
  <dcterms:modified xsi:type="dcterms:W3CDTF">2022-08-04T08:29:05Z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