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F7DDF" w14:textId="77777777" w:rsidR="002E6C4D" w:rsidRDefault="00311762">
      <w:pPr>
        <w:widowControl w:val="0"/>
        <w:topLinePunct w:val="0"/>
        <w:autoSpaceDE/>
        <w:autoSpaceDN/>
        <w:adjustRightInd/>
        <w:snapToGrid/>
        <w:ind w:firstLineChars="0" w:firstLine="0"/>
        <w:jc w:val="center"/>
        <w:textAlignment w:val="auto"/>
        <w:rPr>
          <w:rFonts w:ascii="方正小标宋简体" w:eastAsia="方正小标宋简体" w:hAnsi="宋体" w:cs="Times New Roman"/>
          <w:snapToGrid/>
          <w:color w:val="000000" w:themeColor="text1"/>
          <w:kern w:val="2"/>
          <w:sz w:val="44"/>
          <w:szCs w:val="44"/>
        </w:rPr>
      </w:pPr>
      <w:r>
        <w:rPr>
          <w:rFonts w:ascii="方正小标宋简体" w:eastAsia="方正小标宋简体" w:hAnsi="宋体" w:cs="Times New Roman" w:hint="eastAsia"/>
          <w:snapToGrid/>
          <w:color w:val="000000" w:themeColor="text1"/>
          <w:kern w:val="2"/>
          <w:sz w:val="44"/>
          <w:szCs w:val="44"/>
        </w:rPr>
        <w:t>强化土地要素保障促进工业经济</w:t>
      </w:r>
    </w:p>
    <w:p w14:paraId="319C7C8D" w14:textId="77777777" w:rsidR="002E6C4D" w:rsidRDefault="00311762">
      <w:pPr>
        <w:widowControl w:val="0"/>
        <w:topLinePunct w:val="0"/>
        <w:autoSpaceDE/>
        <w:autoSpaceDN/>
        <w:adjustRightInd/>
        <w:snapToGrid/>
        <w:ind w:firstLineChars="0" w:firstLine="0"/>
        <w:jc w:val="center"/>
        <w:textAlignment w:val="auto"/>
        <w:rPr>
          <w:rFonts w:ascii="方正小标宋简体" w:eastAsia="方正小标宋简体" w:hAnsi="宋体" w:cs="Times New Roman"/>
          <w:snapToGrid/>
          <w:color w:val="000000" w:themeColor="text1"/>
          <w:kern w:val="2"/>
          <w:sz w:val="44"/>
          <w:szCs w:val="44"/>
        </w:rPr>
      </w:pPr>
      <w:r>
        <w:rPr>
          <w:rFonts w:ascii="方正小标宋简体" w:eastAsia="方正小标宋简体" w:hAnsi="宋体" w:cs="Times New Roman" w:hint="eastAsia"/>
          <w:snapToGrid/>
          <w:color w:val="000000" w:themeColor="text1"/>
          <w:kern w:val="2"/>
          <w:sz w:val="44"/>
          <w:szCs w:val="44"/>
        </w:rPr>
        <w:t>高质量发展若干措施</w:t>
      </w:r>
    </w:p>
    <w:p w14:paraId="5B62EAF6" w14:textId="77777777" w:rsidR="002E6C4D" w:rsidRDefault="00311762">
      <w:pPr>
        <w:widowControl w:val="0"/>
        <w:topLinePunct w:val="0"/>
        <w:autoSpaceDE/>
        <w:autoSpaceDN/>
        <w:adjustRightInd/>
        <w:snapToGrid/>
        <w:ind w:firstLineChars="0" w:firstLine="0"/>
        <w:jc w:val="center"/>
        <w:textAlignment w:val="auto"/>
        <w:rPr>
          <w:rFonts w:ascii="方正小标宋简体" w:eastAsia="方正小标宋简体" w:hAnsi="宋体" w:cs="Times New Roman"/>
          <w:snapToGrid/>
          <w:color w:val="000000" w:themeColor="text1"/>
          <w:kern w:val="2"/>
          <w:sz w:val="44"/>
          <w:szCs w:val="44"/>
        </w:rPr>
      </w:pPr>
      <w:r>
        <w:rPr>
          <w:rFonts w:ascii="方正小标宋简体" w:eastAsia="方正小标宋简体" w:hAnsi="宋体" w:cs="Times New Roman" w:hint="eastAsia"/>
          <w:snapToGrid/>
          <w:color w:val="000000" w:themeColor="text1"/>
          <w:kern w:val="2"/>
          <w:sz w:val="44"/>
          <w:szCs w:val="44"/>
        </w:rPr>
        <w:t>（征求意见稿）</w:t>
      </w:r>
    </w:p>
    <w:p w14:paraId="7CDCD2FA" w14:textId="77777777" w:rsidR="002E6C4D" w:rsidRDefault="002E6C4D">
      <w:pPr>
        <w:ind w:firstLine="640"/>
        <w:rPr>
          <w:snapToGrid/>
        </w:rPr>
      </w:pPr>
    </w:p>
    <w:p w14:paraId="3E96CB70" w14:textId="76855E83" w:rsidR="002E6C4D" w:rsidRDefault="00311762">
      <w:pPr>
        <w:ind w:firstLine="640"/>
      </w:pPr>
      <w:r>
        <w:rPr>
          <w:rFonts w:hint="eastAsia"/>
        </w:rPr>
        <w:t>为全面贯彻党的二十大精神，认真落实</w:t>
      </w:r>
      <w:r w:rsidR="002849A7">
        <w:rPr>
          <w:rFonts w:hint="eastAsia"/>
        </w:rPr>
        <w:t>省</w:t>
      </w:r>
      <w:r w:rsidR="002849A7" w:rsidRPr="002849A7">
        <w:rPr>
          <w:rFonts w:hint="eastAsia"/>
        </w:rPr>
        <w:t>高质量发展大会</w:t>
      </w:r>
      <w:r w:rsidR="002849A7">
        <w:rPr>
          <w:rFonts w:hint="eastAsia"/>
        </w:rPr>
        <w:t>精神</w:t>
      </w:r>
      <w:r>
        <w:rPr>
          <w:rFonts w:hint="eastAsia"/>
        </w:rPr>
        <w:t>及揭阳市“三中心</w:t>
      </w:r>
      <w:proofErr w:type="gramStart"/>
      <w:r>
        <w:rPr>
          <w:rFonts w:hint="eastAsia"/>
        </w:rPr>
        <w:t>一</w:t>
      </w:r>
      <w:proofErr w:type="gramEnd"/>
      <w:r>
        <w:rPr>
          <w:rFonts w:hint="eastAsia"/>
        </w:rPr>
        <w:t>示范区”工作部署，围绕揭阳市委对普宁的发展定位，统筹发展和安全，加大产业协同，走产业强市之路，加快建设现代化经济体系，以实体经济为本、坚持制造业当家，强化土地要素保障，进一步打造优质高效的营商环境，促进工业经济高质量发展，结合贯彻落实《广东省自然资源厅关于加强制造业当家用地保障的通知》（</w:t>
      </w:r>
      <w:proofErr w:type="gramStart"/>
      <w:r>
        <w:rPr>
          <w:rFonts w:hint="eastAsia"/>
        </w:rPr>
        <w:t>粤自然资</w:t>
      </w:r>
      <w:proofErr w:type="gramEnd"/>
      <w:r>
        <w:rPr>
          <w:rFonts w:hint="eastAsia"/>
        </w:rPr>
        <w:t>函〔</w:t>
      </w:r>
      <w:r>
        <w:rPr>
          <w:rFonts w:hint="eastAsia"/>
        </w:rPr>
        <w:t>2023</w:t>
      </w:r>
      <w:r>
        <w:rPr>
          <w:rFonts w:hint="eastAsia"/>
        </w:rPr>
        <w:t>〕</w:t>
      </w:r>
      <w:r>
        <w:rPr>
          <w:rFonts w:hint="eastAsia"/>
        </w:rPr>
        <w:t>86</w:t>
      </w:r>
      <w:r>
        <w:rPr>
          <w:rFonts w:hint="eastAsia"/>
        </w:rPr>
        <w:t>号）</w:t>
      </w:r>
      <w:r>
        <w:rPr>
          <w:rFonts w:hint="eastAsia"/>
          <w:color w:val="auto"/>
        </w:rPr>
        <w:t>《工业用地自然资源支持措施》（</w:t>
      </w:r>
      <w:proofErr w:type="gramStart"/>
      <w:r>
        <w:rPr>
          <w:rFonts w:hint="eastAsia"/>
          <w:color w:val="auto"/>
        </w:rPr>
        <w:t>揭市自然资</w:t>
      </w:r>
      <w:proofErr w:type="gramEnd"/>
      <w:r>
        <w:rPr>
          <w:rFonts w:hint="eastAsia"/>
          <w:color w:val="auto"/>
        </w:rPr>
        <w:t>发〔</w:t>
      </w:r>
      <w:r>
        <w:rPr>
          <w:rFonts w:hint="eastAsia"/>
          <w:color w:val="auto"/>
        </w:rPr>
        <w:t>2023</w:t>
      </w:r>
      <w:r>
        <w:rPr>
          <w:rFonts w:hint="eastAsia"/>
          <w:color w:val="auto"/>
        </w:rPr>
        <w:t>〕</w:t>
      </w:r>
      <w:r>
        <w:rPr>
          <w:rFonts w:hint="eastAsia"/>
          <w:color w:val="auto"/>
        </w:rPr>
        <w:t>3</w:t>
      </w:r>
      <w:r>
        <w:rPr>
          <w:rFonts w:hint="eastAsia"/>
          <w:color w:val="auto"/>
        </w:rPr>
        <w:t>号）等</w:t>
      </w:r>
      <w:r>
        <w:rPr>
          <w:rFonts w:hint="eastAsia"/>
        </w:rPr>
        <w:t>，现结合我市实际提出如下措施。</w:t>
      </w:r>
    </w:p>
    <w:p w14:paraId="34BEDF4B" w14:textId="77777777" w:rsidR="002E6C4D" w:rsidRDefault="00311762">
      <w:pPr>
        <w:pStyle w:val="1"/>
        <w:ind w:firstLine="640"/>
        <w:rPr>
          <w:snapToGrid/>
        </w:rPr>
      </w:pPr>
      <w:r>
        <w:rPr>
          <w:rFonts w:hint="eastAsia"/>
          <w:snapToGrid/>
        </w:rPr>
        <w:lastRenderedPageBreak/>
        <w:t>一、强化用地保障</w:t>
      </w:r>
    </w:p>
    <w:p w14:paraId="1989124C" w14:textId="04484863" w:rsidR="002E6C4D" w:rsidRDefault="00311762">
      <w:pPr>
        <w:pStyle w:val="2"/>
        <w:ind w:firstLine="640"/>
        <w:rPr>
          <w:b/>
        </w:rPr>
      </w:pPr>
      <w:r>
        <w:rPr>
          <w:rFonts w:hint="eastAsia"/>
        </w:rPr>
        <w:t>（一）</w:t>
      </w:r>
      <w:r>
        <w:t>优先保障重点企业</w:t>
      </w:r>
      <w:r>
        <w:rPr>
          <w:rFonts w:hint="eastAsia"/>
        </w:rPr>
        <w:t>、重点项目</w:t>
      </w:r>
      <w:r>
        <w:t>用地</w:t>
      </w:r>
      <w:r>
        <w:rPr>
          <w:rFonts w:hint="eastAsia"/>
        </w:rPr>
        <w:t>。聚焦优势民企、国有大型企业、世界</w:t>
      </w:r>
      <w:r>
        <w:rPr>
          <w:rFonts w:hint="eastAsia"/>
        </w:rPr>
        <w:t>500</w:t>
      </w:r>
      <w:r>
        <w:rPr>
          <w:rFonts w:hint="eastAsia"/>
        </w:rPr>
        <w:t>强企业以及市重点企业、龙头企业和重大投资项目</w:t>
      </w:r>
      <w:r>
        <w:t>，在政策范围内优</w:t>
      </w:r>
      <w:r>
        <w:rPr>
          <w:spacing w:val="-1"/>
        </w:rPr>
        <w:t>先给予项目用地支持</w:t>
      </w:r>
      <w:r>
        <w:rPr>
          <w:spacing w:val="-2"/>
        </w:rPr>
        <w:t>。</w:t>
      </w:r>
      <w:r>
        <w:rPr>
          <w:rFonts w:hint="eastAsia"/>
          <w:spacing w:val="-2"/>
        </w:rPr>
        <w:t>固定资产投资</w:t>
      </w:r>
      <w:r>
        <w:rPr>
          <w:rFonts w:hint="eastAsia"/>
          <w:spacing w:val="-2"/>
        </w:rPr>
        <w:t>5</w:t>
      </w:r>
      <w:r>
        <w:rPr>
          <w:rFonts w:hint="eastAsia"/>
          <w:spacing w:val="-2"/>
        </w:rPr>
        <w:t>亿元及以上制造业项目可申请在</w:t>
      </w:r>
      <w:r>
        <w:rPr>
          <w:rFonts w:hint="eastAsia"/>
          <w:spacing w:val="-2"/>
        </w:rPr>
        <w:t>3-5</w:t>
      </w:r>
      <w:r>
        <w:rPr>
          <w:rFonts w:hint="eastAsia"/>
          <w:spacing w:val="-2"/>
        </w:rPr>
        <w:t>年内就近预留一定空间的工业用地。国家、省、揭阳市以及我市重点项目</w:t>
      </w:r>
      <w:r>
        <w:rPr>
          <w:spacing w:val="-4"/>
        </w:rPr>
        <w:t>国土空间规划调整</w:t>
      </w:r>
      <w:r>
        <w:t>要优</w:t>
      </w:r>
      <w:r>
        <w:rPr>
          <w:spacing w:val="-1"/>
        </w:rPr>
        <w:t>先满足并从简从快办理。</w:t>
      </w:r>
      <w:r>
        <w:rPr>
          <w:rFonts w:hint="eastAsia"/>
          <w:spacing w:val="-1"/>
        </w:rPr>
        <w:t>市自然资源局成立</w:t>
      </w:r>
      <w:r>
        <w:rPr>
          <w:rFonts w:hint="eastAsia"/>
          <w:spacing w:val="-5"/>
        </w:rPr>
        <w:t>服务</w:t>
      </w:r>
      <w:proofErr w:type="gramStart"/>
      <w:r>
        <w:rPr>
          <w:rFonts w:hint="eastAsia"/>
          <w:spacing w:val="-5"/>
        </w:rPr>
        <w:t>招商选资工作</w:t>
      </w:r>
      <w:proofErr w:type="gramEnd"/>
      <w:r>
        <w:rPr>
          <w:rFonts w:hint="eastAsia"/>
          <w:spacing w:val="-5"/>
        </w:rPr>
        <w:t>专班</w:t>
      </w:r>
      <w:r>
        <w:rPr>
          <w:spacing w:val="-4"/>
        </w:rPr>
        <w:t>，</w:t>
      </w:r>
      <w:r>
        <w:rPr>
          <w:spacing w:val="-2"/>
        </w:rPr>
        <w:t>开设绿色通道，专人跟踪服务，加快项目用地审批进度</w:t>
      </w:r>
      <w:r>
        <w:rPr>
          <w:rFonts w:hint="eastAsia"/>
          <w:spacing w:val="-2"/>
        </w:rPr>
        <w:t>和</w:t>
      </w:r>
      <w:r>
        <w:rPr>
          <w:spacing w:val="-4"/>
        </w:rPr>
        <w:t>用地保障工作。</w:t>
      </w:r>
    </w:p>
    <w:p w14:paraId="563C22AC" w14:textId="77777777" w:rsidR="002E6C4D" w:rsidRDefault="00311762">
      <w:pPr>
        <w:pStyle w:val="2"/>
        <w:ind w:firstLine="640"/>
      </w:pPr>
      <w:r>
        <w:rPr>
          <w:rFonts w:hint="eastAsia"/>
        </w:rPr>
        <w:t>（二）对重点产业项目给予用地计划指标保障。坚持土地要素跟着项目走，保障真实有效项目新增建设用地计划指标。对纳入国家、省重大项目清单的项目用地计划指标全面保障，揭阳市、我市先进制造业用地计划指标应保尽保。对固定资产投资额</w:t>
      </w:r>
      <w:r>
        <w:rPr>
          <w:rFonts w:hint="eastAsia"/>
        </w:rPr>
        <w:t>1</w:t>
      </w:r>
      <w:r>
        <w:rPr>
          <w:rFonts w:hint="eastAsia"/>
        </w:rPr>
        <w:t>亿元（含）以上且投资强度不低于</w:t>
      </w:r>
      <w:r>
        <w:rPr>
          <w:rFonts w:hint="eastAsia"/>
        </w:rPr>
        <w:t>300</w:t>
      </w:r>
      <w:r>
        <w:rPr>
          <w:rFonts w:hint="eastAsia"/>
        </w:rPr>
        <w:t>万元</w:t>
      </w:r>
      <w:r>
        <w:rPr>
          <w:rFonts w:hint="eastAsia"/>
        </w:rPr>
        <w:t>/</w:t>
      </w:r>
      <w:proofErr w:type="gramStart"/>
      <w:r>
        <w:rPr>
          <w:rFonts w:hint="eastAsia"/>
        </w:rPr>
        <w:t>亩和地均税收</w:t>
      </w:r>
      <w:proofErr w:type="gramEnd"/>
      <w:r>
        <w:rPr>
          <w:rFonts w:hint="eastAsia"/>
        </w:rPr>
        <w:t>不低于</w:t>
      </w:r>
      <w:r>
        <w:rPr>
          <w:rFonts w:hint="eastAsia"/>
        </w:rPr>
        <w:t>15</w:t>
      </w:r>
      <w:r>
        <w:rPr>
          <w:rFonts w:hint="eastAsia"/>
        </w:rPr>
        <w:t>万元</w:t>
      </w:r>
      <w:r>
        <w:rPr>
          <w:rFonts w:hint="eastAsia"/>
        </w:rPr>
        <w:t>/</w:t>
      </w:r>
      <w:r>
        <w:rPr>
          <w:rFonts w:hint="eastAsia"/>
        </w:rPr>
        <w:t>亩的先进制造业项目，用地计划指标全面保障。</w:t>
      </w:r>
    </w:p>
    <w:p w14:paraId="6D7D1317" w14:textId="77777777" w:rsidR="002E6C4D" w:rsidRDefault="00311762">
      <w:pPr>
        <w:pStyle w:val="2"/>
        <w:ind w:firstLine="640"/>
      </w:pPr>
      <w:r>
        <w:rPr>
          <w:rFonts w:hint="eastAsia"/>
        </w:rPr>
        <w:t>（三）支持标准厂房项目用地指标。优先安排年度用地计划指标用于建设标准厂房，保障中小企业发展。国家级和省级开发区、产业转移园区（产业转移集聚地）建设的高标准厂房和工业大厦用地，容积率超过</w:t>
      </w:r>
      <w:r>
        <w:rPr>
          <w:rFonts w:hint="eastAsia"/>
        </w:rPr>
        <w:t>2.0</w:t>
      </w:r>
      <w:r>
        <w:rPr>
          <w:rFonts w:hint="eastAsia"/>
        </w:rPr>
        <w:t>的，所使用用地</w:t>
      </w:r>
      <w:proofErr w:type="gramStart"/>
      <w:r>
        <w:rPr>
          <w:rFonts w:hint="eastAsia"/>
        </w:rPr>
        <w:t>指标市向省申请</w:t>
      </w:r>
      <w:proofErr w:type="gramEnd"/>
      <w:r>
        <w:rPr>
          <w:rFonts w:hint="eastAsia"/>
        </w:rPr>
        <w:t>返回。</w:t>
      </w:r>
    </w:p>
    <w:p w14:paraId="362620F6" w14:textId="77777777" w:rsidR="002E6C4D" w:rsidRDefault="00311762">
      <w:pPr>
        <w:pStyle w:val="2"/>
        <w:ind w:firstLine="640"/>
      </w:pPr>
      <w:r>
        <w:rPr>
          <w:rFonts w:hint="eastAsia"/>
        </w:rPr>
        <w:t>（四）划定重点产业平台及工业控制线。在市国土空间总体规划中划定若干个重点产业平台，预留主平台及周边区域基础设施、公共服务设施合理发展空间，促进</w:t>
      </w:r>
      <w:proofErr w:type="gramStart"/>
      <w:r>
        <w:rPr>
          <w:rFonts w:hint="eastAsia"/>
        </w:rPr>
        <w:t>产城融合</w:t>
      </w:r>
      <w:proofErr w:type="gramEnd"/>
      <w:r>
        <w:rPr>
          <w:rFonts w:hint="eastAsia"/>
        </w:rPr>
        <w:t>，支撑普宁打造区域产业高地。</w:t>
      </w:r>
      <w:r>
        <w:rPr>
          <w:rFonts w:hint="eastAsia"/>
          <w:spacing w:val="-2"/>
        </w:rPr>
        <w:t>划定工业控制线，将新增工业用地</w:t>
      </w:r>
      <w:r>
        <w:rPr>
          <w:rFonts w:hint="eastAsia"/>
          <w:spacing w:val="-3"/>
        </w:rPr>
        <w:t>和</w:t>
      </w:r>
      <w:proofErr w:type="gramStart"/>
      <w:r>
        <w:rPr>
          <w:rFonts w:hint="eastAsia"/>
          <w:spacing w:val="-3"/>
        </w:rPr>
        <w:t>拟保留</w:t>
      </w:r>
      <w:proofErr w:type="gramEnd"/>
      <w:r>
        <w:rPr>
          <w:rFonts w:hint="eastAsia"/>
          <w:spacing w:val="-3"/>
        </w:rPr>
        <w:t>使用的</w:t>
      </w:r>
      <w:r>
        <w:rPr>
          <w:rFonts w:hint="eastAsia"/>
          <w:spacing w:val="-2"/>
        </w:rPr>
        <w:t>现状工业用地划入工业控制线，并纳入城镇开发边界，进一步保</w:t>
      </w:r>
      <w:r>
        <w:rPr>
          <w:rFonts w:hint="eastAsia"/>
          <w:spacing w:val="-3"/>
        </w:rPr>
        <w:t>障</w:t>
      </w:r>
      <w:r>
        <w:rPr>
          <w:rFonts w:hint="eastAsia"/>
        </w:rPr>
        <w:t>工业用地发展空间。</w:t>
      </w:r>
    </w:p>
    <w:p w14:paraId="3A350830" w14:textId="77777777" w:rsidR="002E6C4D" w:rsidRDefault="00311762">
      <w:pPr>
        <w:pStyle w:val="2"/>
        <w:ind w:firstLine="640"/>
      </w:pPr>
      <w:r>
        <w:rPr>
          <w:rFonts w:hint="eastAsia"/>
        </w:rPr>
        <w:t>（五）落实产业用地规划布局及控制指标。推进编制控制性详细规划以及单元规划，科学合理确定用地功能布局、规划控制指标，引导产业项目落地需求精准对接空间规划，节约集约利用土地。</w:t>
      </w:r>
    </w:p>
    <w:p w14:paraId="40B39FBF" w14:textId="77777777" w:rsidR="002E6C4D" w:rsidRDefault="00311762">
      <w:pPr>
        <w:pStyle w:val="2"/>
        <w:ind w:firstLine="640"/>
        <w:rPr>
          <w:b/>
        </w:rPr>
      </w:pPr>
      <w:r>
        <w:rPr>
          <w:rFonts w:hint="eastAsia"/>
          <w:snapToGrid/>
        </w:rPr>
        <w:t>（六）</w:t>
      </w:r>
      <w:r>
        <w:rPr>
          <w:rFonts w:hint="eastAsia"/>
          <w:spacing w:val="-7"/>
        </w:rPr>
        <w:t>在国土空间规划过渡期内，对于不符合土地利用总体规</w:t>
      </w:r>
      <w:r>
        <w:rPr>
          <w:rFonts w:hint="eastAsia"/>
        </w:rPr>
        <w:t>划的重要产业项目，可通过使用预支国土空间规划新增建设用地</w:t>
      </w:r>
      <w:r>
        <w:rPr>
          <w:rFonts w:hint="eastAsia"/>
          <w:spacing w:val="-5"/>
        </w:rPr>
        <w:t>规模的方式保障用地空间。</w:t>
      </w:r>
    </w:p>
    <w:p w14:paraId="683738C5" w14:textId="77777777" w:rsidR="002E6C4D" w:rsidRDefault="00311762">
      <w:pPr>
        <w:pStyle w:val="1"/>
        <w:ind w:firstLine="640"/>
      </w:pPr>
      <w:r>
        <w:rPr>
          <w:rFonts w:hint="eastAsia"/>
        </w:rPr>
        <w:t>二、保障项目耕地指标</w:t>
      </w:r>
    </w:p>
    <w:p w14:paraId="2989BC5A" w14:textId="77777777" w:rsidR="002E6C4D" w:rsidRDefault="00311762">
      <w:pPr>
        <w:pStyle w:val="2"/>
        <w:ind w:firstLine="640"/>
      </w:pPr>
      <w:r>
        <w:rPr>
          <w:rFonts w:hint="eastAsia"/>
        </w:rPr>
        <w:t>（七）对重点项目、优质项目适当加强耕地指标保障。结合补充耕地（</w:t>
      </w:r>
      <w:proofErr w:type="gramStart"/>
      <w:r>
        <w:rPr>
          <w:rFonts w:hint="eastAsia"/>
        </w:rPr>
        <w:t>含垦造水田</w:t>
      </w:r>
      <w:proofErr w:type="gramEnd"/>
      <w:r>
        <w:rPr>
          <w:rFonts w:hint="eastAsia"/>
        </w:rPr>
        <w:t>）成本，自行确定耕地指标（含水田指标、粮食产能）使用价格，降低工业用地成本。强化水田指标市级统筹，全力降低工业用地成本。揭阳市级及以上工业园区内产业项目，固定资产投资额</w:t>
      </w:r>
      <w:r>
        <w:rPr>
          <w:rFonts w:hint="eastAsia"/>
        </w:rPr>
        <w:t>2</w:t>
      </w:r>
      <w:r>
        <w:rPr>
          <w:rFonts w:hint="eastAsia"/>
        </w:rPr>
        <w:t>亿元及以上先进制造业项目（以省、揭阳</w:t>
      </w:r>
      <w:proofErr w:type="gramStart"/>
      <w:r>
        <w:rPr>
          <w:rFonts w:hint="eastAsia"/>
        </w:rPr>
        <w:t>市发改部门</w:t>
      </w:r>
      <w:proofErr w:type="gramEnd"/>
      <w:r>
        <w:rPr>
          <w:rFonts w:hint="eastAsia"/>
        </w:rPr>
        <w:t>重点项目计划为准），使用本级指标的，按耕地指标</w:t>
      </w:r>
      <w:r>
        <w:rPr>
          <w:rFonts w:hint="eastAsia"/>
        </w:rPr>
        <w:t>12</w:t>
      </w:r>
      <w:r>
        <w:rPr>
          <w:rFonts w:hint="eastAsia"/>
        </w:rPr>
        <w:t>万元</w:t>
      </w:r>
      <w:r>
        <w:rPr>
          <w:rFonts w:hint="eastAsia"/>
        </w:rPr>
        <w:t>/</w:t>
      </w:r>
      <w:r>
        <w:rPr>
          <w:rFonts w:hint="eastAsia"/>
        </w:rPr>
        <w:t>亩、水田指标</w:t>
      </w:r>
      <w:r>
        <w:rPr>
          <w:rFonts w:hint="eastAsia"/>
        </w:rPr>
        <w:t>30</w:t>
      </w:r>
      <w:r>
        <w:rPr>
          <w:rFonts w:hint="eastAsia"/>
        </w:rPr>
        <w:t>万元</w:t>
      </w:r>
      <w:r>
        <w:rPr>
          <w:rFonts w:hint="eastAsia"/>
        </w:rPr>
        <w:t>/</w:t>
      </w:r>
      <w:r>
        <w:rPr>
          <w:rFonts w:hint="eastAsia"/>
        </w:rPr>
        <w:t>亩、粮食产能</w:t>
      </w:r>
      <w:r>
        <w:rPr>
          <w:rFonts w:hint="eastAsia"/>
        </w:rPr>
        <w:t>50</w:t>
      </w:r>
      <w:r>
        <w:rPr>
          <w:rFonts w:hint="eastAsia"/>
        </w:rPr>
        <w:t>元</w:t>
      </w:r>
      <w:r>
        <w:rPr>
          <w:rFonts w:hint="eastAsia"/>
        </w:rPr>
        <w:t>/</w:t>
      </w:r>
      <w:r>
        <w:rPr>
          <w:rFonts w:hint="eastAsia"/>
        </w:rPr>
        <w:t>公斤。其他工业用地项目，使用本级指标的，按耕地指标</w:t>
      </w:r>
      <w:r>
        <w:rPr>
          <w:rFonts w:hint="eastAsia"/>
        </w:rPr>
        <w:t>12</w:t>
      </w:r>
      <w:r>
        <w:rPr>
          <w:rFonts w:hint="eastAsia"/>
        </w:rPr>
        <w:t>万元</w:t>
      </w:r>
      <w:r>
        <w:rPr>
          <w:rFonts w:hint="eastAsia"/>
        </w:rPr>
        <w:t>/</w:t>
      </w:r>
      <w:r>
        <w:rPr>
          <w:rFonts w:hint="eastAsia"/>
        </w:rPr>
        <w:t>亩、水田指标</w:t>
      </w:r>
      <w:r>
        <w:rPr>
          <w:rFonts w:hint="eastAsia"/>
        </w:rPr>
        <w:t>40</w:t>
      </w:r>
      <w:r>
        <w:rPr>
          <w:rFonts w:hint="eastAsia"/>
        </w:rPr>
        <w:t>万元</w:t>
      </w:r>
      <w:r>
        <w:rPr>
          <w:rFonts w:hint="eastAsia"/>
        </w:rPr>
        <w:t>/</w:t>
      </w:r>
      <w:r>
        <w:rPr>
          <w:rFonts w:hint="eastAsia"/>
        </w:rPr>
        <w:t>亩、粮食产能</w:t>
      </w:r>
      <w:r>
        <w:rPr>
          <w:rFonts w:hint="eastAsia"/>
        </w:rPr>
        <w:t>50</w:t>
      </w:r>
      <w:r>
        <w:rPr>
          <w:rFonts w:hint="eastAsia"/>
        </w:rPr>
        <w:t>元</w:t>
      </w:r>
      <w:r>
        <w:rPr>
          <w:rFonts w:hint="eastAsia"/>
        </w:rPr>
        <w:t>/</w:t>
      </w:r>
      <w:r>
        <w:rPr>
          <w:rFonts w:hint="eastAsia"/>
        </w:rPr>
        <w:t>公斤。统筹使用揭阳市级指标的按《揭阳市自然资源局关于印发〈揭阳市承接产业有序转移自然资源保障方案〉的通知》（</w:t>
      </w:r>
      <w:proofErr w:type="gramStart"/>
      <w:r>
        <w:rPr>
          <w:rFonts w:hint="eastAsia"/>
        </w:rPr>
        <w:t>揭市自然资发</w:t>
      </w:r>
      <w:proofErr w:type="gramEnd"/>
      <w:r>
        <w:rPr>
          <w:rFonts w:hint="eastAsia"/>
        </w:rPr>
        <w:t>〔</w:t>
      </w:r>
      <w:r>
        <w:rPr>
          <w:rFonts w:hint="eastAsia"/>
        </w:rPr>
        <w:t>2023</w:t>
      </w:r>
      <w:r>
        <w:rPr>
          <w:rFonts w:hint="eastAsia"/>
        </w:rPr>
        <w:t>〕</w:t>
      </w:r>
      <w:r>
        <w:rPr>
          <w:rFonts w:hint="eastAsia"/>
        </w:rPr>
        <w:t>2</w:t>
      </w:r>
      <w:r>
        <w:rPr>
          <w:rFonts w:hint="eastAsia"/>
        </w:rPr>
        <w:t>号）文件执行。</w:t>
      </w:r>
    </w:p>
    <w:p w14:paraId="2F9E1FDB" w14:textId="77777777" w:rsidR="002E6C4D" w:rsidRDefault="00311762">
      <w:pPr>
        <w:pStyle w:val="2"/>
        <w:ind w:firstLine="640"/>
      </w:pPr>
      <w:r>
        <w:rPr>
          <w:rFonts w:hint="eastAsia"/>
        </w:rPr>
        <w:t>（八）支持增减挂钩、补充耕地节余指标交易。通过建设用地拆旧、复垦、整理形成的指标，在优先保障所在村建设需要后，节余指标通过省域内建设用地交易平台进行公开交易。在确保本行政区域内耕地占补平衡需要的前提下，将持有的补充耕地节余指标，按照公开、公平、公正的原则通过补充耕地网上交易平台有偿转让。</w:t>
      </w:r>
    </w:p>
    <w:p w14:paraId="2231DFB9" w14:textId="77777777" w:rsidR="002E6C4D" w:rsidRDefault="00311762">
      <w:pPr>
        <w:pStyle w:val="1"/>
        <w:ind w:firstLine="640"/>
      </w:pPr>
      <w:r>
        <w:rPr>
          <w:rFonts w:hint="eastAsia"/>
        </w:rPr>
        <w:t>三、优化用地供应</w:t>
      </w:r>
    </w:p>
    <w:p w14:paraId="6E608F26" w14:textId="77777777" w:rsidR="002E6C4D" w:rsidRDefault="00311762">
      <w:pPr>
        <w:pStyle w:val="2"/>
        <w:ind w:firstLine="640"/>
      </w:pPr>
      <w:r>
        <w:rPr>
          <w:rFonts w:hint="eastAsia"/>
        </w:rPr>
        <w:t>（九）加大工业用地供应量。结合我市产业规划、市场供需及</w:t>
      </w:r>
      <w:proofErr w:type="gramStart"/>
      <w:r>
        <w:rPr>
          <w:rFonts w:hint="eastAsia"/>
        </w:rPr>
        <w:t>招商选资情况</w:t>
      </w:r>
      <w:proofErr w:type="gramEnd"/>
      <w:r>
        <w:rPr>
          <w:rFonts w:hint="eastAsia"/>
        </w:rPr>
        <w:t>，通过科学制订年度建设用地供应计划，重点突出产业用地，切实加大工业用地供应力度。</w:t>
      </w:r>
    </w:p>
    <w:p w14:paraId="2D9DDB0A" w14:textId="77E6D2DF" w:rsidR="002E6C4D" w:rsidRPr="00311762" w:rsidRDefault="00311762" w:rsidP="00311762">
      <w:pPr>
        <w:pStyle w:val="2"/>
        <w:ind w:firstLine="640"/>
      </w:pPr>
      <w:r>
        <w:rPr>
          <w:rFonts w:hint="eastAsia"/>
        </w:rPr>
        <w:t>（十）推广带建设方案出让。招商主体在土地出让前明确建设方案，土地出让时建设方案一并公告，出让后企业根据方案建设，实现“交地即开工”。</w:t>
      </w:r>
    </w:p>
    <w:p w14:paraId="1BE8E6FA" w14:textId="2349ECAF" w:rsidR="002E6C4D" w:rsidRDefault="00311762">
      <w:pPr>
        <w:pStyle w:val="2"/>
        <w:ind w:firstLine="640"/>
      </w:pPr>
      <w:r>
        <w:rPr>
          <w:rFonts w:hint="eastAsia"/>
        </w:rPr>
        <w:t>（十一）</w:t>
      </w:r>
      <w:r w:rsidR="00E24FFD">
        <w:rPr>
          <w:rFonts w:hint="eastAsia"/>
        </w:rPr>
        <w:t>工业用地</w:t>
      </w:r>
      <w:r>
        <w:rPr>
          <w:rFonts w:hint="eastAsia"/>
        </w:rPr>
        <w:t>供应除正常出让外，还可采用长期租赁、先租后让、弹性年期出让等方式。</w:t>
      </w:r>
    </w:p>
    <w:p w14:paraId="50F1BE37" w14:textId="77777777" w:rsidR="002E6C4D" w:rsidRDefault="00311762">
      <w:pPr>
        <w:ind w:firstLine="640"/>
      </w:pPr>
      <w:r>
        <w:rPr>
          <w:rFonts w:hint="eastAsia"/>
        </w:rPr>
        <w:t>长期租赁即整宗土地在整个合同期内均以租赁方式使用，并由土地使用权人按合同约定支付年租金，长期租赁期限一般不低于</w:t>
      </w:r>
      <w:r>
        <w:rPr>
          <w:rFonts w:hint="eastAsia"/>
        </w:rPr>
        <w:t>5</w:t>
      </w:r>
      <w:r>
        <w:rPr>
          <w:rFonts w:hint="eastAsia"/>
        </w:rPr>
        <w:t>年，最高不超过</w:t>
      </w:r>
      <w:r>
        <w:rPr>
          <w:rFonts w:hint="eastAsia"/>
        </w:rPr>
        <w:t>20</w:t>
      </w:r>
      <w:r>
        <w:rPr>
          <w:rFonts w:hint="eastAsia"/>
        </w:rPr>
        <w:t>年。</w:t>
      </w:r>
    </w:p>
    <w:p w14:paraId="651B2310" w14:textId="77777777" w:rsidR="002E6C4D" w:rsidRDefault="00311762">
      <w:pPr>
        <w:ind w:firstLine="640"/>
      </w:pPr>
      <w:r>
        <w:rPr>
          <w:rFonts w:hint="eastAsia"/>
        </w:rPr>
        <w:t>先</w:t>
      </w:r>
      <w:proofErr w:type="gramStart"/>
      <w:r>
        <w:rPr>
          <w:rFonts w:hint="eastAsia"/>
        </w:rPr>
        <w:t>租后让即供</w:t>
      </w:r>
      <w:proofErr w:type="gramEnd"/>
      <w:r>
        <w:rPr>
          <w:rFonts w:hint="eastAsia"/>
        </w:rPr>
        <w:t>地方供地时设定一定期限的租赁期，按照公开程序确定国有建设用地使用权人，先以租赁方式提供用地，承租方投资产业用地项目达到约定条件后再转为出让。先租后让租赁期一般不超过</w:t>
      </w:r>
      <w:r>
        <w:rPr>
          <w:rFonts w:hint="eastAsia"/>
        </w:rPr>
        <w:t>5</w:t>
      </w:r>
      <w:r>
        <w:rPr>
          <w:rFonts w:hint="eastAsia"/>
        </w:rPr>
        <w:t>年，租赁期满达到合同约定条件的，在同等条件下原租赁企业优先受让，鼓励在出让阶段实行弹性年期。</w:t>
      </w:r>
      <w:proofErr w:type="gramStart"/>
      <w:r>
        <w:rPr>
          <w:rFonts w:hint="eastAsia"/>
        </w:rPr>
        <w:t>租让年</w:t>
      </w:r>
      <w:proofErr w:type="gramEnd"/>
      <w:r>
        <w:rPr>
          <w:rFonts w:hint="eastAsia"/>
        </w:rPr>
        <w:t>期之和不超过法定最高出让年限。</w:t>
      </w:r>
    </w:p>
    <w:p w14:paraId="5D1D09E8" w14:textId="77777777" w:rsidR="002E6C4D" w:rsidRDefault="00311762">
      <w:pPr>
        <w:ind w:firstLine="640"/>
      </w:pPr>
      <w:r>
        <w:rPr>
          <w:rFonts w:hint="eastAsia"/>
        </w:rPr>
        <w:t>弹性年期出让即整宗土地以低于工业用地法定出让最高年限</w:t>
      </w:r>
      <w:r>
        <w:rPr>
          <w:rFonts w:hint="eastAsia"/>
        </w:rPr>
        <w:t>50</w:t>
      </w:r>
      <w:r>
        <w:rPr>
          <w:rFonts w:hint="eastAsia"/>
        </w:rPr>
        <w:t>年出让的供应方式。根据企业意愿，对有弹性用地出让需求的工业企业实行弹性年期出让供地，按照出让年期与工业用地可出让最高年期的比值确定年期修正系数。对届满符合续期使用条件的，可采用协议出让方式续期。</w:t>
      </w:r>
    </w:p>
    <w:p w14:paraId="5AAA8B57" w14:textId="77777777" w:rsidR="002E6C4D" w:rsidRDefault="00311762">
      <w:pPr>
        <w:pStyle w:val="2"/>
        <w:ind w:firstLine="640"/>
      </w:pPr>
      <w:r>
        <w:rPr>
          <w:rFonts w:hint="eastAsia"/>
        </w:rPr>
        <w:t>（十二）鼓励将标准厂房及配套用地划拨或协议出让给我市工业和信息化局或开发区（产业园区）管委会，用于在开发区（产业园区）范围内建设只租不售的标准厂房及配套设施、人才住房、保障性住房以及创新型产业用房（含科技企业孵化器）。</w:t>
      </w:r>
    </w:p>
    <w:p w14:paraId="5BB07D7E" w14:textId="77777777" w:rsidR="002E6C4D" w:rsidRDefault="00311762">
      <w:pPr>
        <w:ind w:firstLine="640"/>
      </w:pPr>
      <w:r>
        <w:rPr>
          <w:rFonts w:hint="eastAsia"/>
        </w:rPr>
        <w:t>以划拨方式取得的建设用地使用权不得转让、互换、出资、赠与或者抵押，不得改变用途。</w:t>
      </w:r>
    </w:p>
    <w:p w14:paraId="04B45BA7" w14:textId="77777777" w:rsidR="002E6C4D" w:rsidRDefault="00311762">
      <w:pPr>
        <w:pStyle w:val="1"/>
        <w:ind w:firstLine="640"/>
      </w:pPr>
      <w:r>
        <w:rPr>
          <w:rFonts w:hint="eastAsia"/>
        </w:rPr>
        <w:t>四、定向实行地价优惠</w:t>
      </w:r>
    </w:p>
    <w:p w14:paraId="162CB97D" w14:textId="77777777" w:rsidR="002E6C4D" w:rsidRDefault="00311762">
      <w:pPr>
        <w:pStyle w:val="2"/>
        <w:ind w:firstLine="640"/>
      </w:pPr>
      <w:r>
        <w:rPr>
          <w:rFonts w:hint="eastAsia"/>
        </w:rPr>
        <w:t>（十三）省确定的优先发展产业，且用地集约（容积率和建筑系数超过国家规定标准</w:t>
      </w:r>
      <w:r>
        <w:rPr>
          <w:rFonts w:hint="eastAsia"/>
        </w:rPr>
        <w:t>40%</w:t>
      </w:r>
      <w:r>
        <w:rPr>
          <w:rFonts w:hint="eastAsia"/>
        </w:rPr>
        <w:t>、投资强度增加</w:t>
      </w:r>
      <w:r>
        <w:rPr>
          <w:rFonts w:hint="eastAsia"/>
        </w:rPr>
        <w:t>10%</w:t>
      </w:r>
      <w:r>
        <w:rPr>
          <w:rFonts w:hint="eastAsia"/>
        </w:rPr>
        <w:t>以上）的制造业项目，土地出让底价可按所在地土地等别对应工业用地最低价标准的</w:t>
      </w:r>
      <w:r>
        <w:rPr>
          <w:rFonts w:hint="eastAsia"/>
        </w:rPr>
        <w:t>70%</w:t>
      </w:r>
      <w:r>
        <w:rPr>
          <w:rFonts w:hint="eastAsia"/>
        </w:rPr>
        <w:t>执行，但不得低于土地取得成本、土地前期开发成本和按规定应收取的相关费用之</w:t>
      </w:r>
      <w:proofErr w:type="gramStart"/>
      <w:r>
        <w:rPr>
          <w:rFonts w:hint="eastAsia"/>
        </w:rPr>
        <w:t>和</w:t>
      </w:r>
      <w:proofErr w:type="gramEnd"/>
      <w:r>
        <w:rPr>
          <w:rFonts w:hint="eastAsia"/>
        </w:rPr>
        <w:t>。</w:t>
      </w:r>
    </w:p>
    <w:p w14:paraId="4CD49D24" w14:textId="77777777" w:rsidR="002E6C4D" w:rsidRDefault="00311762">
      <w:pPr>
        <w:pStyle w:val="2"/>
        <w:ind w:firstLine="640"/>
      </w:pPr>
      <w:r>
        <w:rPr>
          <w:rFonts w:hint="eastAsia"/>
        </w:rPr>
        <w:t>（十四）采取长期租赁的，租赁期间租金不调整的，可按不低于该宗地</w:t>
      </w:r>
      <w:r>
        <w:rPr>
          <w:rFonts w:hint="eastAsia"/>
        </w:rPr>
        <w:t>50</w:t>
      </w:r>
      <w:r>
        <w:rPr>
          <w:rFonts w:hint="eastAsia"/>
        </w:rPr>
        <w:t>年工业用地出让评估价格的</w:t>
      </w:r>
      <w:r>
        <w:rPr>
          <w:rFonts w:hint="eastAsia"/>
        </w:rPr>
        <w:t>2%</w:t>
      </w:r>
      <w:r>
        <w:rPr>
          <w:rFonts w:hint="eastAsia"/>
        </w:rPr>
        <w:t>确定年租金标底；租金调整的，可按该宗地</w:t>
      </w:r>
      <w:r>
        <w:rPr>
          <w:rFonts w:hint="eastAsia"/>
        </w:rPr>
        <w:t>50</w:t>
      </w:r>
      <w:r>
        <w:rPr>
          <w:rFonts w:hint="eastAsia"/>
        </w:rPr>
        <w:t>年工业用地出让评估价格的</w:t>
      </w:r>
      <w:r>
        <w:rPr>
          <w:rFonts w:hint="eastAsia"/>
        </w:rPr>
        <w:t>2%</w:t>
      </w:r>
      <w:r>
        <w:rPr>
          <w:rFonts w:hint="eastAsia"/>
        </w:rPr>
        <w:t>确定首期年租金标底，租金调整周期不得低于</w:t>
      </w:r>
      <w:r>
        <w:rPr>
          <w:rFonts w:hint="eastAsia"/>
        </w:rPr>
        <w:t>5</w:t>
      </w:r>
      <w:r>
        <w:rPr>
          <w:rFonts w:hint="eastAsia"/>
        </w:rPr>
        <w:t>年，以后各期租金标准应依据届时土地评估价格或土地价格指数确定，但涨幅不得高于上期租金的</w:t>
      </w:r>
      <w:r>
        <w:rPr>
          <w:rFonts w:hint="eastAsia"/>
        </w:rPr>
        <w:t>10%</w:t>
      </w:r>
      <w:r>
        <w:rPr>
          <w:rFonts w:hint="eastAsia"/>
        </w:rPr>
        <w:t>。</w:t>
      </w:r>
    </w:p>
    <w:p w14:paraId="139D58C7" w14:textId="77777777" w:rsidR="002E6C4D" w:rsidRDefault="00311762">
      <w:pPr>
        <w:pStyle w:val="2"/>
        <w:ind w:firstLine="640"/>
      </w:pPr>
      <w:r>
        <w:rPr>
          <w:rFonts w:hint="eastAsia"/>
        </w:rPr>
        <w:t>（十五）采取先租后让的，租赁期租金标准按照租赁期与最高年期的比值进行年期修正确定。转出让后，已交租金冲抵出让价款。</w:t>
      </w:r>
    </w:p>
    <w:p w14:paraId="166396F3" w14:textId="77777777" w:rsidR="002E6C4D" w:rsidRDefault="00311762">
      <w:pPr>
        <w:pStyle w:val="2"/>
        <w:ind w:firstLine="640"/>
      </w:pPr>
      <w:r>
        <w:rPr>
          <w:rFonts w:hint="eastAsia"/>
        </w:rPr>
        <w:t>（十六）采取弹性年期出让的，出让价格标底按不低于弹性年期与同类用途土地最高出让年期的比值进行年期修正。</w:t>
      </w:r>
    </w:p>
    <w:p w14:paraId="0325B165" w14:textId="77777777" w:rsidR="002E6C4D" w:rsidRDefault="00311762">
      <w:pPr>
        <w:pStyle w:val="1"/>
        <w:ind w:firstLine="640"/>
      </w:pPr>
      <w:r>
        <w:rPr>
          <w:rFonts w:hint="eastAsia"/>
        </w:rPr>
        <w:t>五、减轻工业企业用地资金压力</w:t>
      </w:r>
    </w:p>
    <w:p w14:paraId="5813159B" w14:textId="77777777" w:rsidR="002E6C4D" w:rsidRDefault="00311762">
      <w:pPr>
        <w:pStyle w:val="2"/>
        <w:ind w:firstLine="640"/>
      </w:pPr>
      <w:r>
        <w:rPr>
          <w:rFonts w:hint="eastAsia"/>
        </w:rPr>
        <w:t>（十七）工业项目用地公开挂牌时，按土地出让起始价的</w:t>
      </w:r>
      <w:r>
        <w:rPr>
          <w:rFonts w:hint="eastAsia"/>
        </w:rPr>
        <w:t>20%</w:t>
      </w:r>
      <w:r>
        <w:rPr>
          <w:rFonts w:hint="eastAsia"/>
        </w:rPr>
        <w:t>确定土地出让竞买保证金比例。</w:t>
      </w:r>
    </w:p>
    <w:p w14:paraId="4CB5E852" w14:textId="77777777" w:rsidR="002E6C4D" w:rsidRDefault="00311762">
      <w:pPr>
        <w:pStyle w:val="2"/>
        <w:ind w:firstLine="640"/>
      </w:pPr>
      <w:r>
        <w:rPr>
          <w:rFonts w:hint="eastAsia"/>
        </w:rPr>
        <w:t>（十八）工业用地供应可约定分期缴纳土地出让价款。全部土地出让价款缴纳的期限不超过一年，首付款缴纳比例不得低于全部土地出让价款的</w:t>
      </w:r>
      <w:r>
        <w:rPr>
          <w:rFonts w:hint="eastAsia"/>
        </w:rPr>
        <w:t>50%</w:t>
      </w:r>
      <w:r>
        <w:rPr>
          <w:rFonts w:hint="eastAsia"/>
        </w:rPr>
        <w:t>，且应在土地出让合同签订后</w:t>
      </w:r>
      <w:r>
        <w:rPr>
          <w:rFonts w:hint="eastAsia"/>
        </w:rPr>
        <w:t>1</w:t>
      </w:r>
      <w:r>
        <w:rPr>
          <w:rFonts w:hint="eastAsia"/>
        </w:rPr>
        <w:t>个月内缴纳完毕。分期支付国有建设用地使用权出让价款的，受让方在支付第二期及以后各期出让价款时，应当按照支付第一期土地出让价款当日中国人民银行公布的贷款利率向出让方支付利息。</w:t>
      </w:r>
    </w:p>
    <w:p w14:paraId="0F4D6363" w14:textId="77777777" w:rsidR="002E6C4D" w:rsidRDefault="00311762">
      <w:pPr>
        <w:pStyle w:val="2"/>
        <w:ind w:firstLine="640"/>
      </w:pPr>
      <w:r>
        <w:rPr>
          <w:rFonts w:hint="eastAsia"/>
        </w:rPr>
        <w:t>（十九）在符合控制性详细规划的前提下，现有制造业企业通过提高工业用地容积率、调整用地结构增加服务型制造业务设施和经营场所，其建筑面积比例不超过原总建筑面积</w:t>
      </w:r>
      <w:r>
        <w:rPr>
          <w:rFonts w:hint="eastAsia"/>
        </w:rPr>
        <w:t>15%</w:t>
      </w:r>
      <w:r>
        <w:rPr>
          <w:rFonts w:hint="eastAsia"/>
        </w:rPr>
        <w:t>的，可继续按原用途使用土地，但不得分割转让。对现有工业项目不改变用途前提下提高容积率和新建工业项目建筑容积率超过国家、省、市规定容积率部分的，不再增收土地价款。</w:t>
      </w:r>
    </w:p>
    <w:p w14:paraId="11D8E3DC" w14:textId="77777777" w:rsidR="002E6C4D" w:rsidRDefault="00311762">
      <w:pPr>
        <w:pStyle w:val="1"/>
        <w:ind w:firstLine="640"/>
      </w:pPr>
      <w:r>
        <w:rPr>
          <w:rFonts w:hint="eastAsia"/>
        </w:rPr>
        <w:t>六、大力</w:t>
      </w:r>
      <w:proofErr w:type="gramStart"/>
      <w:r>
        <w:rPr>
          <w:rFonts w:hint="eastAsia"/>
        </w:rPr>
        <w:t>实施奖补</w:t>
      </w:r>
      <w:proofErr w:type="gramEnd"/>
    </w:p>
    <w:p w14:paraId="6A321455" w14:textId="26584D6E" w:rsidR="002E6C4D" w:rsidRDefault="00311762">
      <w:pPr>
        <w:pStyle w:val="2"/>
        <w:ind w:firstLine="640"/>
      </w:pPr>
      <w:r>
        <w:rPr>
          <w:rFonts w:hint="eastAsia"/>
        </w:rPr>
        <w:t>（二十）工业用地出让成交后，在签订土地出让合同之前，竞得者需与市人民政府签订《产业项目发展和用地准入协议》（以下简称“准入协议”），就产业类别、产业发展方向、投资强度、设计生产能力、竣工投产时间、达产时间、产出效益、节能环保等要素进行约定。准入协议是签订国有土地使用权出让合同的前提条件，与国有土地使用权出让合同享有同等法律效力，并作为后续对投资建设快、产出效益高的企业</w:t>
      </w:r>
      <w:proofErr w:type="gramStart"/>
      <w:r>
        <w:rPr>
          <w:rFonts w:hint="eastAsia"/>
        </w:rPr>
        <w:t>实施奖补</w:t>
      </w:r>
      <w:proofErr w:type="gramEnd"/>
      <w:r>
        <w:rPr>
          <w:rFonts w:hint="eastAsia"/>
        </w:rPr>
        <w:t>的依据。</w:t>
      </w:r>
    </w:p>
    <w:p w14:paraId="5222AB93" w14:textId="77777777" w:rsidR="002E6C4D" w:rsidRDefault="00311762">
      <w:pPr>
        <w:pStyle w:val="1"/>
        <w:keepNext w:val="0"/>
        <w:keepLines w:val="0"/>
        <w:widowControl w:val="0"/>
        <w:ind w:firstLine="640"/>
      </w:pPr>
      <w:r>
        <w:rPr>
          <w:rFonts w:hint="eastAsia"/>
        </w:rPr>
        <w:t>七、支持鼓励升级改造</w:t>
      </w:r>
    </w:p>
    <w:p w14:paraId="171CFBE6" w14:textId="0915BFE8" w:rsidR="002E6C4D" w:rsidRDefault="00311762">
      <w:pPr>
        <w:pStyle w:val="2"/>
        <w:keepNext w:val="0"/>
        <w:keepLines w:val="0"/>
        <w:widowControl w:val="0"/>
        <w:ind w:firstLine="640"/>
      </w:pPr>
      <w:r>
        <w:rPr>
          <w:rFonts w:hint="eastAsia"/>
        </w:rPr>
        <w:t>（二十</w:t>
      </w:r>
      <w:r w:rsidR="004D3FCC">
        <w:rPr>
          <w:rFonts w:hint="eastAsia"/>
        </w:rPr>
        <w:t>一</w:t>
      </w:r>
      <w:r>
        <w:rPr>
          <w:rFonts w:hint="eastAsia"/>
        </w:rPr>
        <w:t>）鼓励企业在符合规划及安全标准、且不改变用途的前提下，通过厂房加层、厂区改造、内部用地整理等途径，促进工业用地、仓储用地二次开发，从单一工业用途向特色园区和创新型产业功能混合开发转型，依法淘汰落后产能项目。</w:t>
      </w:r>
    </w:p>
    <w:p w14:paraId="4DF863B2" w14:textId="37DA79A4" w:rsidR="002E6C4D" w:rsidRDefault="00311762">
      <w:pPr>
        <w:pStyle w:val="2"/>
        <w:keepNext w:val="0"/>
        <w:keepLines w:val="0"/>
        <w:widowControl w:val="0"/>
        <w:ind w:firstLine="640"/>
      </w:pPr>
      <w:r>
        <w:rPr>
          <w:rFonts w:hint="eastAsia"/>
        </w:rPr>
        <w:t>（二十</w:t>
      </w:r>
      <w:r w:rsidR="004D3FCC">
        <w:rPr>
          <w:rFonts w:hint="eastAsia"/>
        </w:rPr>
        <w:t>二</w:t>
      </w:r>
      <w:r>
        <w:rPr>
          <w:rFonts w:hint="eastAsia"/>
        </w:rPr>
        <w:t>）符合“三旧”改造政策要求的村镇工业集聚区升级改造项目，具有合法用地手续的工业用地，改造后用于兴办先进制造业、生产性及高科技服务业、创业创新平台等国家支持的新产业、新业态建设项目的，经市人民政府批准，可享受按原用途使用的</w:t>
      </w:r>
      <w:r>
        <w:rPr>
          <w:rFonts w:hint="eastAsia"/>
        </w:rPr>
        <w:t>5</w:t>
      </w:r>
      <w:r>
        <w:rPr>
          <w:rFonts w:hint="eastAsia"/>
        </w:rPr>
        <w:t>年过渡期政策。</w:t>
      </w:r>
      <w:r>
        <w:rPr>
          <w:rFonts w:hint="eastAsia"/>
        </w:rPr>
        <w:t>5</w:t>
      </w:r>
      <w:r>
        <w:rPr>
          <w:rFonts w:hint="eastAsia"/>
        </w:rPr>
        <w:t>年过渡期满及涉及转让需办理改变用地主体和规划条件的手续时，除符合《划拨用地目录》的可保留划拨外，其余可以协议方式办理，但法律、法规、行政规定等明确规定及国有建设用地划拨决定书、租赁合同等规定或约定应当收回土地使用权重新出让的除外。</w:t>
      </w:r>
    </w:p>
    <w:p w14:paraId="4D1585E5" w14:textId="721D9BE9" w:rsidR="002E6C4D" w:rsidRDefault="00311762">
      <w:pPr>
        <w:pStyle w:val="2"/>
        <w:keepNext w:val="0"/>
        <w:keepLines w:val="0"/>
        <w:widowControl w:val="0"/>
        <w:ind w:firstLine="640"/>
      </w:pPr>
      <w:r>
        <w:rPr>
          <w:rFonts w:hint="eastAsia"/>
        </w:rPr>
        <w:t>（二十</w:t>
      </w:r>
      <w:r w:rsidR="004D3FCC">
        <w:rPr>
          <w:rFonts w:hint="eastAsia"/>
        </w:rPr>
        <w:t>三</w:t>
      </w:r>
      <w:r>
        <w:rPr>
          <w:rFonts w:hint="eastAsia"/>
        </w:rPr>
        <w:t>）村镇工业集聚区升级改造和“工改工”项目，符合“三旧”改造政策的，可享受“三旧”改造政策红利，包括完善征地</w:t>
      </w:r>
      <w:proofErr w:type="gramStart"/>
      <w:r>
        <w:rPr>
          <w:rFonts w:hint="eastAsia"/>
        </w:rPr>
        <w:t>手续转征国有</w:t>
      </w:r>
      <w:proofErr w:type="gramEnd"/>
      <w:r>
        <w:rPr>
          <w:rFonts w:hint="eastAsia"/>
        </w:rPr>
        <w:t>、协议方式出让国有土地、地价优惠涉及历史征地的按评估市场价</w:t>
      </w:r>
      <w:r w:rsidRPr="00084F5E">
        <w:rPr>
          <w:rFonts w:hint="eastAsia"/>
        </w:rPr>
        <w:t>40%</w:t>
      </w:r>
      <w:r w:rsidRPr="00084F5E">
        <w:rPr>
          <w:rFonts w:hint="eastAsia"/>
        </w:rPr>
        <w:t>计收地价</w:t>
      </w:r>
      <w:r>
        <w:rPr>
          <w:rFonts w:hint="eastAsia"/>
          <w:b/>
          <w:bCs w:val="0"/>
        </w:rPr>
        <w:t>、</w:t>
      </w:r>
      <w:r>
        <w:rPr>
          <w:rFonts w:hint="eastAsia"/>
        </w:rPr>
        <w:t>涉及国有土地自行改造的按新旧用地的评估市场价差额</w:t>
      </w:r>
      <w:r>
        <w:rPr>
          <w:rFonts w:hint="eastAsia"/>
        </w:rPr>
        <w:t>50%</w:t>
      </w:r>
      <w:r>
        <w:rPr>
          <w:rFonts w:hint="eastAsia"/>
        </w:rPr>
        <w:t>计收、</w:t>
      </w:r>
      <w:proofErr w:type="gramStart"/>
      <w:r>
        <w:rPr>
          <w:rFonts w:hint="eastAsia"/>
        </w:rPr>
        <w:t>涉及村</w:t>
      </w:r>
      <w:proofErr w:type="gramEnd"/>
      <w:r>
        <w:rPr>
          <w:rFonts w:hint="eastAsia"/>
        </w:rPr>
        <w:t>集体申请转为国有土地自行改造的按评估市场价</w:t>
      </w:r>
      <w:r>
        <w:rPr>
          <w:rFonts w:hint="eastAsia"/>
        </w:rPr>
        <w:t>40%</w:t>
      </w:r>
      <w:r>
        <w:rPr>
          <w:rFonts w:hint="eastAsia"/>
        </w:rPr>
        <w:t>计收地价等。支持村镇工业集聚区升级改造建设标准厂房。</w:t>
      </w:r>
    </w:p>
    <w:p w14:paraId="73F113E9" w14:textId="77777777" w:rsidR="002E6C4D" w:rsidRDefault="00311762">
      <w:pPr>
        <w:pStyle w:val="1"/>
        <w:keepNext w:val="0"/>
        <w:keepLines w:val="0"/>
        <w:widowControl w:val="0"/>
        <w:ind w:firstLine="640"/>
      </w:pPr>
      <w:r>
        <w:rPr>
          <w:rFonts w:hint="eastAsia"/>
        </w:rPr>
        <w:t>八、支持全域土地综合整治</w:t>
      </w:r>
    </w:p>
    <w:p w14:paraId="0295C0EB" w14:textId="32A2E422" w:rsidR="002E6C4D" w:rsidRDefault="00311762">
      <w:pPr>
        <w:pStyle w:val="2"/>
        <w:ind w:firstLine="640"/>
      </w:pPr>
      <w:r>
        <w:rPr>
          <w:rFonts w:hint="eastAsia"/>
        </w:rPr>
        <w:t>（二十</w:t>
      </w:r>
      <w:r w:rsidR="004D3FCC">
        <w:rPr>
          <w:rFonts w:hint="eastAsia"/>
        </w:rPr>
        <w:t>四</w:t>
      </w:r>
      <w:r>
        <w:rPr>
          <w:rFonts w:hint="eastAsia"/>
        </w:rPr>
        <w:t>）支持开展全域土地综合整治试点、优化永久基本农田布局。鼓励全域土地综合整治试点地区整体推进农用地整理、建设用地整理和乡村生态保护修复。整治验收后腾退的建设用地，在保障试点区域农民安置、农村基础设施建设、公益事业等用地的前提下，可重点用于农村一二三产业融合发展。支持试点地区乡镇国土空间规划先编、先报、先批、先用。</w:t>
      </w:r>
    </w:p>
    <w:p w14:paraId="3073971E" w14:textId="77777777" w:rsidR="002E6C4D" w:rsidRDefault="00311762">
      <w:pPr>
        <w:pStyle w:val="1"/>
        <w:keepNext w:val="0"/>
        <w:keepLines w:val="0"/>
        <w:widowControl w:val="0"/>
        <w:ind w:firstLine="640"/>
      </w:pPr>
      <w:r>
        <w:rPr>
          <w:rFonts w:hint="eastAsia"/>
        </w:rPr>
        <w:t>九、优化程序提升服务效能</w:t>
      </w:r>
    </w:p>
    <w:p w14:paraId="5D791996" w14:textId="39FAA044" w:rsidR="002E6C4D" w:rsidRDefault="00311762">
      <w:pPr>
        <w:pStyle w:val="2"/>
        <w:keepNext w:val="0"/>
        <w:keepLines w:val="0"/>
        <w:widowControl w:val="0"/>
        <w:ind w:firstLine="640"/>
      </w:pPr>
      <w:r>
        <w:rPr>
          <w:rFonts w:hint="eastAsia"/>
        </w:rPr>
        <w:t>（二十</w:t>
      </w:r>
      <w:r w:rsidR="004D3FCC">
        <w:rPr>
          <w:rFonts w:hint="eastAsia"/>
        </w:rPr>
        <w:t>五</w:t>
      </w:r>
      <w:r>
        <w:rPr>
          <w:rFonts w:hint="eastAsia"/>
        </w:rPr>
        <w:t>）探索实行预告登记转让制度，未完成开发投资总额</w:t>
      </w:r>
      <w:r>
        <w:rPr>
          <w:rFonts w:hint="eastAsia"/>
        </w:rPr>
        <w:t>25%</w:t>
      </w:r>
      <w:r>
        <w:rPr>
          <w:rFonts w:hint="eastAsia"/>
        </w:rPr>
        <w:t>的工业用地，按照“先投入后转让”的原则，允许转让双方签订工业用地使用权转让合同后，依法办理预告登记，待开发投资达到转让条件时，再办理不动产转移登记手续，受让方可凭预告登记证明办理项目规划、建设、环评、消防等审批手续。</w:t>
      </w:r>
    </w:p>
    <w:p w14:paraId="5BB48F86" w14:textId="4D9314C5" w:rsidR="002E6C4D" w:rsidRDefault="00311762">
      <w:pPr>
        <w:pStyle w:val="2"/>
        <w:keepNext w:val="0"/>
        <w:keepLines w:val="0"/>
        <w:widowControl w:val="0"/>
        <w:ind w:firstLine="640"/>
      </w:pPr>
      <w:r>
        <w:rPr>
          <w:rFonts w:hint="eastAsia"/>
        </w:rPr>
        <w:t>（二十</w:t>
      </w:r>
      <w:r w:rsidR="004D3FCC">
        <w:rPr>
          <w:rFonts w:hint="eastAsia"/>
        </w:rPr>
        <w:t>六</w:t>
      </w:r>
      <w:r>
        <w:rPr>
          <w:rFonts w:hint="eastAsia"/>
        </w:rPr>
        <w:t>）</w:t>
      </w:r>
      <w:r>
        <w:t>推行用地规划手续并联办理。省</w:t>
      </w:r>
      <w:r>
        <w:rPr>
          <w:rFonts w:hint="eastAsia"/>
        </w:rPr>
        <w:t>、揭阳</w:t>
      </w:r>
      <w:r>
        <w:t>市</w:t>
      </w:r>
      <w:r>
        <w:rPr>
          <w:rFonts w:hint="eastAsia"/>
        </w:rPr>
        <w:t>、我市</w:t>
      </w:r>
      <w:r>
        <w:t>重点项目及产业类项目的规划条件事项上会研究及平台审核可同步并联办理，在出具正式规划条件</w:t>
      </w:r>
      <w:proofErr w:type="gramStart"/>
      <w:r>
        <w:t>前完善</w:t>
      </w:r>
      <w:proofErr w:type="gramEnd"/>
      <w:r>
        <w:t>业务平台相关手续，存量问题可采取联合办公方式解决。</w:t>
      </w:r>
    </w:p>
    <w:p w14:paraId="3AFA00BF" w14:textId="2D21A6BB" w:rsidR="002E6C4D" w:rsidRDefault="00311762">
      <w:pPr>
        <w:pStyle w:val="2"/>
        <w:keepNext w:val="0"/>
        <w:keepLines w:val="0"/>
        <w:widowControl w:val="0"/>
        <w:ind w:firstLine="640"/>
      </w:pPr>
      <w:r>
        <w:t>（</w:t>
      </w:r>
      <w:r>
        <w:rPr>
          <w:rFonts w:hint="eastAsia"/>
        </w:rPr>
        <w:t>二十</w:t>
      </w:r>
      <w:r w:rsidR="004D3FCC">
        <w:rPr>
          <w:rFonts w:hint="eastAsia"/>
        </w:rPr>
        <w:t>七</w:t>
      </w:r>
      <w:r>
        <w:t>）</w:t>
      </w:r>
      <w:r w:rsidR="00B57225">
        <w:rPr>
          <w:rFonts w:hint="eastAsia"/>
        </w:rPr>
        <w:t>探索</w:t>
      </w:r>
      <w:r>
        <w:t>规划许可全链条线上办理</w:t>
      </w:r>
      <w:r>
        <w:rPr>
          <w:rFonts w:hint="eastAsia"/>
        </w:rPr>
        <w:t>。</w:t>
      </w:r>
      <w:r w:rsidR="00B57225">
        <w:rPr>
          <w:rFonts w:hint="eastAsia"/>
        </w:rPr>
        <w:t>加快推进</w:t>
      </w:r>
      <w:r>
        <w:t>核发</w:t>
      </w:r>
      <w:r>
        <w:rPr>
          <w:rFonts w:hint="eastAsia"/>
        </w:rPr>
        <w:t>“</w:t>
      </w:r>
      <w:r>
        <w:t>一书三证</w:t>
      </w:r>
      <w:r>
        <w:rPr>
          <w:rFonts w:hint="eastAsia"/>
        </w:rPr>
        <w:t>”</w:t>
      </w:r>
      <w:r>
        <w:t>、</w:t>
      </w:r>
      <w:r w:rsidR="0026779F">
        <w:t>审查</w:t>
      </w:r>
      <w:r>
        <w:t>方案在网上系统中办理</w:t>
      </w:r>
      <w:r w:rsidR="0026779F">
        <w:rPr>
          <w:rFonts w:hint="eastAsia"/>
        </w:rPr>
        <w:t>，</w:t>
      </w:r>
      <w:r>
        <w:t>派专人负责重点项目和应急项目的受理、审批、发证等有关事宜，并采用灵活的审签模式，确保项目手续正常办理。</w:t>
      </w:r>
    </w:p>
    <w:p w14:paraId="5A68A418" w14:textId="2A4D9FA8" w:rsidR="002E6C4D" w:rsidRDefault="00311762">
      <w:pPr>
        <w:pStyle w:val="2"/>
        <w:keepNext w:val="0"/>
        <w:keepLines w:val="0"/>
        <w:widowControl w:val="0"/>
        <w:ind w:firstLine="640"/>
      </w:pPr>
      <w:r>
        <w:t>（</w:t>
      </w:r>
      <w:r w:rsidR="004D3FCC">
        <w:rPr>
          <w:rFonts w:hint="eastAsia"/>
        </w:rPr>
        <w:t>二十八</w:t>
      </w:r>
      <w:bookmarkStart w:id="0" w:name="_GoBack"/>
      <w:bookmarkEnd w:id="0"/>
      <w:r>
        <w:t>）</w:t>
      </w:r>
      <w:r>
        <w:rPr>
          <w:rFonts w:hint="eastAsia"/>
        </w:rPr>
        <w:t>全面试行“告知承诺制”审批。在建设工程规划许可阶段，建设单位可出具告知承诺书承诺各项建设内容符合规划设计条件及建筑工程设计方案等规划控制要求，市自然资源局可快速</w:t>
      </w:r>
      <w:r w:rsidR="00084F5E">
        <w:rPr>
          <w:rFonts w:hint="eastAsia"/>
        </w:rPr>
        <w:t>办理</w:t>
      </w:r>
      <w:r>
        <w:rPr>
          <w:rFonts w:hint="eastAsia"/>
        </w:rPr>
        <w:t>《建设工程规划许可证》。</w:t>
      </w:r>
    </w:p>
    <w:sectPr w:rsidR="002E6C4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19987" w14:textId="77777777" w:rsidR="009C2D17" w:rsidRDefault="00311762">
      <w:pPr>
        <w:spacing w:line="240" w:lineRule="auto"/>
        <w:ind w:firstLine="640"/>
      </w:pPr>
      <w:r>
        <w:separator/>
      </w:r>
    </w:p>
  </w:endnote>
  <w:endnote w:type="continuationSeparator" w:id="0">
    <w:p w14:paraId="163A2422" w14:textId="77777777" w:rsidR="009C2D17" w:rsidRDefault="0031176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568D" w14:textId="77777777" w:rsidR="002E6C4D" w:rsidRDefault="002E6C4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00337"/>
    </w:sdtPr>
    <w:sdtEndPr/>
    <w:sdtContent>
      <w:p w14:paraId="3ED1D989" w14:textId="77777777" w:rsidR="002E6C4D" w:rsidRDefault="00311762">
        <w:pPr>
          <w:pStyle w:val="a7"/>
          <w:ind w:firstLine="360"/>
          <w:jc w:val="center"/>
        </w:pPr>
        <w:r>
          <w:fldChar w:fldCharType="begin"/>
        </w:r>
        <w:r>
          <w:instrText>PAGE   \* MERGEFORMAT</w:instrText>
        </w:r>
        <w:r>
          <w:fldChar w:fldCharType="separate"/>
        </w:r>
        <w:r>
          <w:rPr>
            <w:lang w:val="zh-CN"/>
          </w:rPr>
          <w:t>2</w:t>
        </w:r>
        <w:r>
          <w:fldChar w:fldCharType="end"/>
        </w:r>
      </w:p>
    </w:sdtContent>
  </w:sdt>
  <w:p w14:paraId="1393320A" w14:textId="77777777" w:rsidR="002E6C4D" w:rsidRDefault="002E6C4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25B0" w14:textId="77777777" w:rsidR="002E6C4D" w:rsidRDefault="002E6C4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2FA97" w14:textId="77777777" w:rsidR="009C2D17" w:rsidRDefault="00311762">
      <w:pPr>
        <w:spacing w:line="240" w:lineRule="auto"/>
        <w:ind w:firstLine="640"/>
      </w:pPr>
      <w:r>
        <w:separator/>
      </w:r>
    </w:p>
  </w:footnote>
  <w:footnote w:type="continuationSeparator" w:id="0">
    <w:p w14:paraId="55E4613B" w14:textId="77777777" w:rsidR="009C2D17" w:rsidRDefault="0031176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5E07" w14:textId="77777777" w:rsidR="002E6C4D" w:rsidRDefault="002E6C4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F94B" w14:textId="77777777" w:rsidR="002E6C4D" w:rsidRDefault="002E6C4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D2B4" w14:textId="77777777" w:rsidR="002E6C4D" w:rsidRDefault="002E6C4D">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wMWYxMTQxYWZiYWYwZmJkNDMxNzMxNjYzOTdkMzUifQ=="/>
  </w:docVars>
  <w:rsids>
    <w:rsidRoot w:val="00D74089"/>
    <w:rsid w:val="000070B4"/>
    <w:rsid w:val="00020070"/>
    <w:rsid w:val="00025E79"/>
    <w:rsid w:val="00031AC6"/>
    <w:rsid w:val="00060EAA"/>
    <w:rsid w:val="00063372"/>
    <w:rsid w:val="00071B4E"/>
    <w:rsid w:val="00081E31"/>
    <w:rsid w:val="000839D4"/>
    <w:rsid w:val="00084F5E"/>
    <w:rsid w:val="000B1BCA"/>
    <w:rsid w:val="000B7223"/>
    <w:rsid w:val="000D2B77"/>
    <w:rsid w:val="000D6BED"/>
    <w:rsid w:val="000E5E83"/>
    <w:rsid w:val="000E659E"/>
    <w:rsid w:val="00160843"/>
    <w:rsid w:val="001878B0"/>
    <w:rsid w:val="00196B47"/>
    <w:rsid w:val="001E6CB0"/>
    <w:rsid w:val="00243B94"/>
    <w:rsid w:val="0026779F"/>
    <w:rsid w:val="002849A7"/>
    <w:rsid w:val="00284CD4"/>
    <w:rsid w:val="00297527"/>
    <w:rsid w:val="002B76A1"/>
    <w:rsid w:val="002D0A47"/>
    <w:rsid w:val="002D4DEA"/>
    <w:rsid w:val="002D515A"/>
    <w:rsid w:val="002E1B8A"/>
    <w:rsid w:val="002E6C4D"/>
    <w:rsid w:val="003065B8"/>
    <w:rsid w:val="00311762"/>
    <w:rsid w:val="00344BDD"/>
    <w:rsid w:val="00370D90"/>
    <w:rsid w:val="003D6625"/>
    <w:rsid w:val="003E2DF7"/>
    <w:rsid w:val="003E2ECD"/>
    <w:rsid w:val="004409FC"/>
    <w:rsid w:val="0047240D"/>
    <w:rsid w:val="0047410C"/>
    <w:rsid w:val="004910D6"/>
    <w:rsid w:val="004C5E65"/>
    <w:rsid w:val="004C65DF"/>
    <w:rsid w:val="004D3FCC"/>
    <w:rsid w:val="004E0D5E"/>
    <w:rsid w:val="00523887"/>
    <w:rsid w:val="00544C72"/>
    <w:rsid w:val="00573DCE"/>
    <w:rsid w:val="0059228C"/>
    <w:rsid w:val="005A4054"/>
    <w:rsid w:val="005A6F4E"/>
    <w:rsid w:val="005D4E6C"/>
    <w:rsid w:val="005E2C09"/>
    <w:rsid w:val="005E5D96"/>
    <w:rsid w:val="005E7013"/>
    <w:rsid w:val="006058A1"/>
    <w:rsid w:val="00660FF6"/>
    <w:rsid w:val="0066580B"/>
    <w:rsid w:val="00690CAC"/>
    <w:rsid w:val="006B1764"/>
    <w:rsid w:val="006D103E"/>
    <w:rsid w:val="006D517F"/>
    <w:rsid w:val="006F0523"/>
    <w:rsid w:val="00703907"/>
    <w:rsid w:val="00711765"/>
    <w:rsid w:val="00723F96"/>
    <w:rsid w:val="00746483"/>
    <w:rsid w:val="00754C6B"/>
    <w:rsid w:val="00777166"/>
    <w:rsid w:val="007B118E"/>
    <w:rsid w:val="007C1E5A"/>
    <w:rsid w:val="007D1877"/>
    <w:rsid w:val="007D2A21"/>
    <w:rsid w:val="00835C3D"/>
    <w:rsid w:val="00841B15"/>
    <w:rsid w:val="008425FB"/>
    <w:rsid w:val="00854F1E"/>
    <w:rsid w:val="00874741"/>
    <w:rsid w:val="00884C10"/>
    <w:rsid w:val="00887AD1"/>
    <w:rsid w:val="008A7FC7"/>
    <w:rsid w:val="008B5F4F"/>
    <w:rsid w:val="008D1E27"/>
    <w:rsid w:val="008E7A84"/>
    <w:rsid w:val="009C2D17"/>
    <w:rsid w:val="00A05A46"/>
    <w:rsid w:val="00A21F0F"/>
    <w:rsid w:val="00A5006A"/>
    <w:rsid w:val="00A95B59"/>
    <w:rsid w:val="00AA5812"/>
    <w:rsid w:val="00AC3F9B"/>
    <w:rsid w:val="00AF1E7D"/>
    <w:rsid w:val="00AF32AF"/>
    <w:rsid w:val="00B129F8"/>
    <w:rsid w:val="00B2285A"/>
    <w:rsid w:val="00B37E52"/>
    <w:rsid w:val="00B52D05"/>
    <w:rsid w:val="00B57225"/>
    <w:rsid w:val="00B67070"/>
    <w:rsid w:val="00B717AB"/>
    <w:rsid w:val="00B937E4"/>
    <w:rsid w:val="00BA63B9"/>
    <w:rsid w:val="00BD10FE"/>
    <w:rsid w:val="00BE0200"/>
    <w:rsid w:val="00BF2BC9"/>
    <w:rsid w:val="00BF42BC"/>
    <w:rsid w:val="00C0482A"/>
    <w:rsid w:val="00C10969"/>
    <w:rsid w:val="00C12DC2"/>
    <w:rsid w:val="00C23A02"/>
    <w:rsid w:val="00C347D0"/>
    <w:rsid w:val="00C448EB"/>
    <w:rsid w:val="00C4492C"/>
    <w:rsid w:val="00C45F18"/>
    <w:rsid w:val="00CA79AB"/>
    <w:rsid w:val="00CC085C"/>
    <w:rsid w:val="00CE2B55"/>
    <w:rsid w:val="00CF1A17"/>
    <w:rsid w:val="00D36079"/>
    <w:rsid w:val="00D43199"/>
    <w:rsid w:val="00D74089"/>
    <w:rsid w:val="00DD093C"/>
    <w:rsid w:val="00DD0FA7"/>
    <w:rsid w:val="00E24FFD"/>
    <w:rsid w:val="00E27363"/>
    <w:rsid w:val="00E62211"/>
    <w:rsid w:val="00EA0E3B"/>
    <w:rsid w:val="00EA5A56"/>
    <w:rsid w:val="00EE4758"/>
    <w:rsid w:val="00F057FD"/>
    <w:rsid w:val="00F0675B"/>
    <w:rsid w:val="00F561BA"/>
    <w:rsid w:val="00F811EF"/>
    <w:rsid w:val="00FA3B5A"/>
    <w:rsid w:val="00FC4D70"/>
    <w:rsid w:val="00FD0767"/>
    <w:rsid w:val="00FF5529"/>
    <w:rsid w:val="01E314C7"/>
    <w:rsid w:val="179C2E78"/>
    <w:rsid w:val="3B693880"/>
    <w:rsid w:val="60C67E5B"/>
    <w:rsid w:val="62674F4C"/>
    <w:rsid w:val="6C773FD6"/>
    <w:rsid w:val="737C331F"/>
    <w:rsid w:val="7ACF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E8F7"/>
  <w15:docId w15:val="{D544B74D-81C9-4044-A460-F628AFA5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opLinePunct/>
      <w:autoSpaceDE w:val="0"/>
      <w:autoSpaceDN w:val="0"/>
      <w:adjustRightInd w:val="0"/>
      <w:snapToGrid w:val="0"/>
      <w:spacing w:line="360" w:lineRule="auto"/>
      <w:ind w:firstLineChars="200" w:firstLine="200"/>
      <w:jc w:val="both"/>
      <w:textAlignment w:val="baseline"/>
    </w:pPr>
    <w:rPr>
      <w:rFonts w:eastAsia="仿宋_GB2312" w:cs="Arial"/>
      <w:snapToGrid w:val="0"/>
      <w:color w:val="000000"/>
      <w:sz w:val="32"/>
      <w:szCs w:val="21"/>
    </w:rPr>
  </w:style>
  <w:style w:type="paragraph" w:styleId="1">
    <w:name w:val="heading 1"/>
    <w:basedOn w:val="a"/>
    <w:next w:val="a"/>
    <w:link w:val="10"/>
    <w:uiPriority w:val="9"/>
    <w:qFormat/>
    <w:pPr>
      <w:keepNext/>
      <w:keepLines/>
      <w:outlineLvl w:val="0"/>
    </w:pPr>
    <w:rPr>
      <w:rFonts w:eastAsia="黑体"/>
      <w:bCs/>
      <w:kern w:val="44"/>
      <w:szCs w:val="44"/>
    </w:rPr>
  </w:style>
  <w:style w:type="paragraph" w:styleId="2">
    <w:name w:val="heading 2"/>
    <w:basedOn w:val="a"/>
    <w:next w:val="a"/>
    <w:link w:val="20"/>
    <w:uiPriority w:val="9"/>
    <w:unhideWhenUsed/>
    <w:qFormat/>
    <w:pPr>
      <w:keepNext/>
      <w:keepLines/>
      <w:outlineLvl w:val="1"/>
    </w:pPr>
    <w:rPr>
      <w:rFonts w:cstheme="majorBidi"/>
      <w:bCs/>
      <w:szCs w:val="32"/>
    </w:rPr>
  </w:style>
  <w:style w:type="paragraph" w:styleId="3">
    <w:name w:val="heading 3"/>
    <w:basedOn w:val="a"/>
    <w:next w:val="a"/>
    <w:link w:val="30"/>
    <w:uiPriority w:val="9"/>
    <w:semiHidden/>
    <w:unhideWhenUsed/>
    <w:qFormat/>
    <w:rsid w:val="002849A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黑体" w:cs="Arial"/>
      <w:bCs/>
      <w:snapToGrid w:val="0"/>
      <w:color w:val="000000"/>
      <w:kern w:val="44"/>
      <w:szCs w:val="44"/>
    </w:rPr>
  </w:style>
  <w:style w:type="character" w:customStyle="1" w:styleId="20">
    <w:name w:val="标题 2 字符"/>
    <w:basedOn w:val="a0"/>
    <w:link w:val="2"/>
    <w:uiPriority w:val="9"/>
    <w:qFormat/>
    <w:rPr>
      <w:rFonts w:eastAsia="仿宋_GB2312" w:cstheme="majorBidi"/>
      <w:bCs/>
      <w:snapToGrid w:val="0"/>
      <w:color w:val="000000"/>
      <w:kern w:val="0"/>
      <w:szCs w:val="32"/>
    </w:rPr>
  </w:style>
  <w:style w:type="character" w:customStyle="1" w:styleId="aa">
    <w:name w:val="页眉 字符"/>
    <w:basedOn w:val="a0"/>
    <w:link w:val="a9"/>
    <w:uiPriority w:val="99"/>
    <w:qFormat/>
    <w:rPr>
      <w:rFonts w:eastAsia="仿宋_GB2312" w:cs="Arial"/>
      <w:snapToGrid w:val="0"/>
      <w:color w:val="000000"/>
      <w:kern w:val="0"/>
      <w:sz w:val="18"/>
      <w:szCs w:val="18"/>
    </w:rPr>
  </w:style>
  <w:style w:type="character" w:customStyle="1" w:styleId="a8">
    <w:name w:val="页脚 字符"/>
    <w:basedOn w:val="a0"/>
    <w:link w:val="a7"/>
    <w:uiPriority w:val="99"/>
    <w:qFormat/>
    <w:rPr>
      <w:rFonts w:eastAsia="仿宋_GB2312" w:cs="Arial"/>
      <w:snapToGrid w:val="0"/>
      <w:color w:val="000000"/>
      <w:kern w:val="0"/>
      <w:sz w:val="18"/>
      <w:szCs w:val="18"/>
    </w:rPr>
  </w:style>
  <w:style w:type="paragraph" w:customStyle="1" w:styleId="af">
    <w:name w:val="注释"/>
    <w:basedOn w:val="a"/>
    <w:link w:val="af0"/>
    <w:qFormat/>
    <w:pPr>
      <w:ind w:firstLineChars="0" w:firstLine="0"/>
    </w:pPr>
    <w:rPr>
      <w:rFonts w:eastAsia="楷体" w:cs="Times New Roman"/>
      <w:snapToGrid/>
      <w:color w:val="auto"/>
      <w:kern w:val="2"/>
      <w:sz w:val="28"/>
      <w:szCs w:val="28"/>
    </w:rPr>
  </w:style>
  <w:style w:type="character" w:customStyle="1" w:styleId="af0">
    <w:name w:val="注释 字符"/>
    <w:basedOn w:val="a0"/>
    <w:link w:val="af"/>
    <w:qFormat/>
    <w:rPr>
      <w:rFonts w:eastAsia="楷体"/>
      <w:sz w:val="28"/>
      <w:szCs w:val="28"/>
    </w:rPr>
  </w:style>
  <w:style w:type="character" w:customStyle="1" w:styleId="a4">
    <w:name w:val="批注文字 字符"/>
    <w:basedOn w:val="a0"/>
    <w:link w:val="a3"/>
    <w:uiPriority w:val="99"/>
    <w:semiHidden/>
    <w:qFormat/>
    <w:rPr>
      <w:rFonts w:eastAsia="仿宋_GB2312" w:cs="Arial"/>
      <w:snapToGrid w:val="0"/>
      <w:color w:val="000000"/>
      <w:kern w:val="0"/>
      <w:szCs w:val="21"/>
    </w:rPr>
  </w:style>
  <w:style w:type="character" w:customStyle="1" w:styleId="ac">
    <w:name w:val="批注主题 字符"/>
    <w:basedOn w:val="a4"/>
    <w:link w:val="ab"/>
    <w:uiPriority w:val="99"/>
    <w:semiHidden/>
    <w:qFormat/>
    <w:rPr>
      <w:rFonts w:eastAsia="仿宋_GB2312" w:cs="Arial"/>
      <w:b/>
      <w:bCs/>
      <w:snapToGrid w:val="0"/>
      <w:color w:val="000000"/>
      <w:kern w:val="0"/>
      <w:szCs w:val="21"/>
    </w:rPr>
  </w:style>
  <w:style w:type="character" w:customStyle="1" w:styleId="a6">
    <w:name w:val="批注框文本 字符"/>
    <w:basedOn w:val="a0"/>
    <w:link w:val="a5"/>
    <w:uiPriority w:val="99"/>
    <w:semiHidden/>
    <w:qFormat/>
    <w:rPr>
      <w:rFonts w:eastAsia="仿宋_GB2312" w:cs="Arial"/>
      <w:snapToGrid w:val="0"/>
      <w:color w:val="000000"/>
      <w:kern w:val="0"/>
      <w:sz w:val="18"/>
      <w:szCs w:val="18"/>
    </w:rPr>
  </w:style>
  <w:style w:type="paragraph" w:customStyle="1" w:styleId="11">
    <w:name w:val="修订1"/>
    <w:hidden/>
    <w:uiPriority w:val="99"/>
    <w:semiHidden/>
    <w:qFormat/>
    <w:rPr>
      <w:rFonts w:eastAsia="仿宋_GB2312" w:cs="Arial"/>
      <w:snapToGrid w:val="0"/>
      <w:color w:val="000000"/>
      <w:sz w:val="32"/>
      <w:szCs w:val="21"/>
    </w:rPr>
  </w:style>
  <w:style w:type="paragraph" w:customStyle="1" w:styleId="21">
    <w:name w:val="修订2"/>
    <w:hidden/>
    <w:uiPriority w:val="99"/>
    <w:semiHidden/>
    <w:rPr>
      <w:rFonts w:eastAsia="仿宋_GB2312" w:cs="Arial"/>
      <w:snapToGrid w:val="0"/>
      <w:color w:val="000000"/>
      <w:sz w:val="32"/>
      <w:szCs w:val="21"/>
    </w:rPr>
  </w:style>
  <w:style w:type="paragraph" w:styleId="af1">
    <w:name w:val="Revision"/>
    <w:hidden/>
    <w:uiPriority w:val="99"/>
    <w:semiHidden/>
    <w:rsid w:val="00690CAC"/>
    <w:rPr>
      <w:rFonts w:eastAsia="仿宋_GB2312" w:cs="Arial"/>
      <w:snapToGrid w:val="0"/>
      <w:color w:val="000000"/>
      <w:sz w:val="32"/>
      <w:szCs w:val="21"/>
    </w:rPr>
  </w:style>
  <w:style w:type="character" w:customStyle="1" w:styleId="30">
    <w:name w:val="标题 3 字符"/>
    <w:basedOn w:val="a0"/>
    <w:link w:val="3"/>
    <w:uiPriority w:val="9"/>
    <w:semiHidden/>
    <w:rsid w:val="002849A7"/>
    <w:rPr>
      <w:rFonts w:eastAsia="仿宋_GB2312" w:cs="Arial"/>
      <w:b/>
      <w:bCs/>
      <w:snapToGrid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437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B8BEA-26BA-4FF3-9B53-D510F247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2023-03-30T09:02:00Z</dcterms:created>
  <dcterms:modified xsi:type="dcterms:W3CDTF">2023-03-30T09:03:00Z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BA7C6DA5E49045909C473F3AF26A420A</vt:lpwstr>
  </property>
</Properties>
</file>