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560" w:lineRule="exact"/>
        <w:rPr>
          <w:b w:val="0"/>
          <w:sz w:val="28"/>
          <w:lang w:eastAsia="zh-CN"/>
          <w:bCs w:val="0"/>
          <w:szCs w:val="28"/>
          <w:rFonts w:ascii="Times New Roman" w:hAnsi="Times New Roman" w:eastAsia="方正仿宋简体" w:cs="Times New Roman" w:hint="default"/>
        </w:rPr>
      </w:pPr>
      <w:r>
        <w:rPr>
          <w:b w:val="0"/>
          <w:sz w:val="40"/>
          <w:lang w:eastAsia="zh-CN"/>
          <w:bCs w:val="0"/>
          <w:szCs w:val="40"/>
          <w:rFonts w:ascii="方正小标宋简体" w:hAnsi="方正小标宋简体" w:eastAsia="方正小标宋简体" w:cs="方正小标宋简体" w:hint="eastAsia"/>
        </w:rPr>
        <w:t>广太镇山后村扶贫项目</w:t>
      </w:r>
      <w:r>
        <w:rPr>
          <w:b w:val="0"/>
          <w:sz w:val="40"/>
          <w:bCs w:val="0"/>
          <w:szCs w:val="40"/>
          <w:rFonts w:ascii="方正小标宋简体" w:hAnsi="方正小标宋简体" w:eastAsia="方正小标宋简体" w:cs="方正小标宋简体" w:hint="eastAsia"/>
        </w:rPr>
        <w:t>收益分配</w:t>
      </w:r>
      <w:r>
        <w:rPr>
          <w:b w:val="0"/>
          <w:sz w:val="40"/>
          <w:lang w:eastAsia="zh-CN"/>
          <w:bCs w:val="0"/>
          <w:szCs w:val="40"/>
          <w:rFonts w:ascii="方正小标宋简体" w:hAnsi="方正小标宋简体" w:eastAsia="方正小标宋简体" w:cs="方正小标宋简体" w:hint="eastAsia"/>
        </w:rPr>
        <w:t>实施</w:t>
      </w:r>
      <w:r>
        <w:rPr>
          <w:b w:val="0"/>
          <w:sz w:val="40"/>
          <w:bCs w:val="0"/>
          <w:szCs w:val="40"/>
          <w:rFonts w:ascii="方正小标宋简体" w:hAnsi="方正小标宋简体" w:eastAsia="方正小标宋简体" w:cs="方正小标宋简体" w:hint="eastAsia"/>
        </w:rPr>
        <w:t>方案</w:t>
      </w:r>
    </w:p>
    <w:p>
      <w:pPr>
        <w:jc w:val="left"/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</w:pPr>
      <w:bookmarkStart w:id="0" w:name="_GoBack"/>
      <w:bookmarkEnd w:id="0"/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 xml:space="preserve">    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 xml:space="preserve">   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为进一步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加强扶贫项目资产后续管理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，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建立健全长效管理机制，确保扶贫项目在巩固拓展脱贫攻坚成果、持续全面推进乡村振兴中发挥效益，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根据广东省乡村振兴局 中共广东省委农村工作领导小组办公室 广东省财政厅关于印发《关于加强扶贫项目资产后续管理实施意见》的通知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（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粤乡振局〔2021〕62号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）和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《普宁市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人民政府印发普宁市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关于进一步加强扶贫项目资产后续管理的实施意见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的通知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》(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普府规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〔202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3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〕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8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号)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文件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规定，结合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我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村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实际情况，制定本方案。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2" w:firstLineChars="200"/>
        <w:rPr>
          <w:b w:val="1"/>
          <w:sz w:val="28"/>
          <w:lang w:eastAsia="zh-CN"/>
          <w:bCs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二、</w:t>
      </w:r>
      <w:r>
        <w:rPr>
          <w:b w:val="1"/>
          <w:sz w:val="28"/>
          <w:lang w:eastAsia="zh-CN"/>
          <w:bCs/>
          <w:szCs w:val="28"/>
          <w:rFonts w:ascii="Times New Roman" w:hAnsi="Times New Roman" w:eastAsia="方正仿宋简体" w:cs="Times New Roman" w:hint="default"/>
        </w:rPr>
        <w:t>收益</w:t>
      </w: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分配</w:t>
      </w:r>
      <w:r>
        <w:rPr>
          <w:b w:val="1"/>
          <w:sz w:val="28"/>
          <w:lang w:eastAsia="zh-CN"/>
          <w:bCs/>
          <w:szCs w:val="28"/>
          <w:rFonts w:ascii="Times New Roman" w:hAnsi="Times New Roman" w:eastAsia="方正仿宋简体" w:cs="Times New Roman" w:hint="default"/>
        </w:rPr>
        <w:t>使用</w:t>
      </w: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原则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lang w:val="en-US" w:eastAsia="zh-CN"/>
          <w:bCs/>
          <w:szCs w:val="28"/>
          <w:rFonts w:ascii="Times New Roman" w:hAnsi="Times New Roman" w:eastAsia="方正仿宋简体" w:cs="Times New Roman" w:hint="default"/>
        </w:rPr>
        <w:t xml:space="preserve">    </w:t>
      </w:r>
      <w:r>
        <w:rPr>
          <w:b w:val="0"/>
          <w:sz w:val="28"/>
          <w:lang w:val="en-US" w:eastAsia="zh-CN"/>
          <w:bCs w:val="0"/>
          <w:szCs w:val="28"/>
          <w:rFonts w:ascii="Times New Roman" w:hAnsi="Times New Roman" w:eastAsia="方正仿宋简体" w:cs="Times New Roman" w:hint="default"/>
        </w:rPr>
        <w:t>(一)扶贫项目资产收益原则上由产权主体负责统筹分配使用，重点用于巩固拓展脱贫攻坚成果、全面推进乡村振兴。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(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二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)扶贫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产业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项目收益对象为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我村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建档立卡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有劳动能力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脱贫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人口、防止返贫监测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人口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及有特殊情况的个别无劳动能力脱贫人口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，用于脱贫户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、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监测户及有特殊情况的个别无劳动能力脱贫人口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增收;项目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年度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结算收益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预留不超过总收益的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30%用于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光伏项目运营维护、保险费、村级公益事业等方面；剩下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eastAsia"/>
        </w:rPr>
        <w:t>7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0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%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的收益分配到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eastAsia"/>
        </w:rPr>
        <w:t>村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建档立卡有劳动能力脱贫人口、防止返贫监测人口及有特殊情况的个别无劳动能力脱贫人口，实际分配时应当向脱贫不稳定户、边缘易致贫户及突发严重困难户等倾斜。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（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三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）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项目年度结算收益指项目产生收益抵除项目运行费用、税费后得出的收益。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如因自然灾害、气象、设备故障、设备维修等不可确定因素导致项目收益减少，则以实际净利润进行分配，结余资产收益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留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作下次收益分配。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（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四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）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扶贫项目资产收益应通过民主决策程序提出具体分配方案，分配方案由村“两委”提议，经村民代表大会审议通过后，报镇党政联席会议审批后实施，对分配结果及时进行公示，公示期五个工作日。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numPr>
          <w:ilvl w:val="0"/>
          <w:numId w:val="0"/>
        </w:numPr>
        <w:spacing w:line="520" w:lineRule="exact"/>
        <w:ind w:firstLine="560" w:firstLineChars="200"/>
        <w:rPr>
          <w:sz w:val="28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（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五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）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如未收到省市相关指导文件通知，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本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扶贫项目收益分配方案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自2023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年9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月份开始实施，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长期有效，原分配方案停止实施。如有其他情况，镇有权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结合实际及时调整完善收益分配方案。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numPr>
          <w:ilvl w:val="0"/>
          <w:numId w:val="0"/>
        </w:numPr>
        <w:spacing w:line="520" w:lineRule="exact"/>
        <w:ind w:firstLine="562" w:firstLineChars="200"/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三、分配期限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正常情况收益分配资金截止至每年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12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月3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1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日止作为结算日，每年一次，由于考虑到收益资金能否及时到位，可根据实际确定收益分配资金结算日期。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2" w:firstLineChars="200"/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四、收益分配使用程序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由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村政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根据当年扶贫项目收益、脱贫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户、监测户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人口数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变动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等情况，制定每年扶贫项目收益分配使用计划，提交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镇党政联席会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通过并经公示。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2" w:firstLineChars="200"/>
        <w:rPr>
          <w:b w:val="1"/>
          <w:sz w:val="28"/>
          <w:lang w:eastAsia="zh-CN"/>
          <w:bCs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五、收益拨付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 xml:space="preserve">  </w:t>
      </w:r>
      <w:r>
        <w:rPr>
          <w:b w:val="1"/>
          <w:sz w:val="28"/>
          <w:lang w:val="en-US" w:eastAsia="zh-CN"/>
          <w:bCs/>
          <w:szCs w:val="28"/>
          <w:rFonts w:ascii="Times New Roman" w:hAnsi="Times New Roman" w:eastAsia="方正仿宋简体" w:cs="Times New Roman" w:hint="default"/>
        </w:rPr>
        <w:t xml:space="preserve">  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项目收益分配使用计划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经审核并公示无误后，由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我村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按照方案将收益通过银行转账方式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或现金发放方式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拨付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2" w:firstLineChars="200"/>
        <w:rPr>
          <w:u w:val="none"/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</w:pPr>
      <w:r>
        <w:rPr>
          <w:b w:val="1"/>
          <w:sz w:val="28"/>
          <w:bCs/>
          <w:szCs w:val="28"/>
          <w:rFonts w:ascii="Times New Roman" w:hAnsi="Times New Roman" w:eastAsia="方正仿宋简体" w:cs="Times New Roman" w:hint="default"/>
        </w:rPr>
        <w:t>六、监督管理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ind w:firstLine="560" w:firstLineChars="200"/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本方案严格按照镇财务制度执行，由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eastAsia"/>
        </w:rPr>
        <w:t>山后村监督委员会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>对分配情况进行监督管理。</w:t>
      </w: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left"/>
        <w:widowControl w:val="0"/>
        <w:spacing w:line="520" w:lineRule="exact"/>
        <w:rPr>
          <w:sz w:val="28"/>
          <w:szCs w:val="28"/>
          <w:rFonts w:ascii="Times New Roman" w:hAnsi="Times New Roman" w:eastAsia="方正仿宋简体" w:cs="Times New Roman" w:hint="default"/>
        </w:rPr>
      </w:pPr>
    </w:p>
    <w:p>
      <w:pPr>
        <w:keepNext w:val="0"/>
        <w:keepLines w:val="0"/>
        <w:pageBreakBefore w:val="0"/>
        <w:wordWrap w:val="0"/>
        <w:overflowPunct w:val="1"/>
        <w:topLinePunct w:val="0"/>
        <w:kinsoku w:val="1"/>
        <w:autoSpaceDE w:val="1"/>
        <w:autoSpaceDN w:val="1"/>
        <w:bidi w:val="0"/>
        <w:adjustRightInd w:val="1"/>
        <w:snapToGrid w:val="0"/>
        <w:jc w:val="right"/>
        <w:widowControl w:val="0"/>
        <w:spacing w:line="520" w:lineRule="exact"/>
        <w:ind w:firstLine="280" w:firstLineChars="100"/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</w:pPr>
      <w:r>
        <w:rPr>
          <w:sz w:val="28"/>
          <w:lang w:eastAsia="zh-CN"/>
          <w:szCs w:val="28"/>
          <w:rFonts w:ascii="Times New Roman" w:hAnsi="Times New Roman" w:eastAsia="方正仿宋简体" w:cs="Times New Roman" w:hint="default"/>
        </w:rPr>
        <w:t>广太镇</w:t>
      </w:r>
      <w:r>
        <w:rPr>
          <w:sz w:val="28"/>
          <w:lang w:eastAsia="zh-CN"/>
          <w:szCs w:val="28"/>
          <w:rFonts w:ascii="Times New Roman" w:hAnsi="Times New Roman" w:eastAsia="方正仿宋简体" w:cs="Times New Roman" w:hint="eastAsia"/>
        </w:rPr>
        <w:t>山后村村委会</w:t>
      </w:r>
      <w:r>
        <w:rPr>
          <w:sz w:val="28"/>
          <w:lang w:val="en-US" w:eastAsia="zh-CN"/>
          <w:szCs w:val="28"/>
          <w:rFonts w:ascii="Times New Roman" w:hAnsi="Times New Roman" w:eastAsia="方正仿宋简体" w:cs="Times New Roman" w:hint="default"/>
        </w:rPr>
        <w:t xml:space="preserve"> </w:t>
      </w:r>
    </w:p>
    <w:p>
      <w:pPr>
        <w:jc w:val="right"/>
        <w:rPr>
          <w:rFonts w:ascii="Times New Roman" w:hAnsi="Times New Roman" w:cs="Times New Roman" w:hint="default"/>
        </w:rPr>
      </w:pPr>
      <w:r>
        <w:rPr>
          <w:sz w:val="28"/>
          <w:szCs w:val="28"/>
          <w:rFonts w:ascii="Times New Roman" w:hAnsi="Times New Roman" w:eastAsia="方正仿宋简体" w:cs="Times New Roman" w:hint="default"/>
        </w:rPr>
        <w:t>2023年9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月22</w:t>
      </w:r>
      <w:r>
        <w:rPr>
          <w:sz w:val="28"/>
          <w:szCs w:val="28"/>
          <w:rFonts w:ascii="Times New Roman" w:hAnsi="Times New Roman" w:eastAsia="方正仿宋简体" w:cs="Times New Roman" w:hint="default"/>
        </w:rPr>
        <w:t>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8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DF61A90"/>
    <w:rsid w:val="3A422BCC"/>
    <w:rsid w:val="3ED82217"/>
    <w:rsid w:val="48281EB4"/>
    <w:rsid w:val="48A719A1"/>
    <w:rsid w:val="7DF61A9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0</Words>
  <Characters>0</Characters>
  <Application>WPS Office_12.1.0.15374_F1E327BC-269C-435d-A152-05C5408002CA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骑单车的小男孩</dc:creator>
  <cp:keywords/>
  <dc:description/>
  <cp:lastModifiedBy>骑单车的小男孩</cp:lastModifiedBy>
  <cp:revision>1</cp:revision>
  <dcterms:created xsi:type="dcterms:W3CDTF">2023-09-21T02:17:00Z</dcterms:created>
  <dcterms:modified xsi:type="dcterms:W3CDTF">2023-09-22T02:07:13Z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154069FD64054B4A8CF0224A7CBE93A5_13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广太镇山后村扶贫项目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收益分配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方案</w:t>
      </w:r>
    </w:p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 xml:space="preserve">   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为进一步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加强扶贫项目资产后续管理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建立健全长效管理机制，确保扶贫项目在巩固拓展脱贫攻坚成果、持续全面推进乡村振兴中发挥效益，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根据广东省乡村振兴局 中共广东省委农村工作领导小组办公室 广东省财政厅关于印发《关于加强扶贫项目资产后续管理实施意见》的通知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粤乡振局〔2021〕62号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）和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《普宁市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人民政府印发普宁市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关于进一步加强扶贫项目资产后续管理的实施意见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的通知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》(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普府规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〔202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〕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号)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文件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规定，结合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我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实际情况，制定本方案。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二、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  <w:t>收益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分配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  <w:t>使用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lang w:val="en-US" w:eastAsia="zh-CN"/>
        </w:rPr>
        <w:t>(一)扶贫项目资产收益原则上由产权主体负责统筹分配使用，重点用于巩固拓展脱贫攻坚成果、全面推进乡村振兴。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(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)扶贫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产业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项目收益对象为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我村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建档立卡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有劳动能力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脱贫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人口、防止返贫监测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人口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及有特殊情况的个别无劳动能力脱贫人口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，用于脱贫户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监测户及有特殊情况的个别无劳动能力脱贫人口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增收;项目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年度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结算收益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预留不超过总收益的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30%用于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光伏项目运营维护、保险费、村级公益事业等方面；剩下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%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的收益分配到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村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建档立卡有劳动能力脱贫人口、防止返贫监测人口及有特殊情况的个别无劳动能力脱贫人口，实际分配时应当向脱贫不稳定户、边缘易致贫户及突发严重困难户等倾斜。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项目年度结算收益指项目产生收益抵除项目运行费用、税费后得出的收益。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如因自然灾害、气象、设备故障、设备维修等不可确定因素导致项目收益减少，则以实际净利润进行分配，结余资产收益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留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作下次收益分配。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扶贫项目资产收益应通过民主决策程序提出具体分配方案，分配方案由村“两委”提议，经村民代表大会审议通过后，报镇党政联席会议审批后实施，对分配结果及时进行公示，公示期五个工作日。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如未收到省市相关指导文件通知，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扶贫项目收益分配方案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自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月份开始实施，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长期有效，原分配方案停止实施。如有其他情况，镇有权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结合实际及时调整完善收益分配方案。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三、分配期限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正常情况收益分配资金截止至每年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月3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日止作为结算日，每年一次，由于考虑到收益资金能否及时到位，可根据实际确定收益分配资金结算日期。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四、收益分配使用程序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由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村政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根据当年扶贫项目收益、脱贫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户、监测户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人口数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变动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等情况，制定每年扶贫项目收益分配使用计划，提交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镇党政联席会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通过并经公示。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五、收益拨付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项目收益分配使用计划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经审核并公示无误后，由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我村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按照方案将收益通过银行转账方式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或现金发放方式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拨付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六、监督管理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本方案严格按照镇财务制度执行，由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山后村监督委员会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对分配情况进行监督管理。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80" w:firstLineChars="100"/>
        <w:jc w:val="righ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广太镇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山后村村委会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