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普宁市新建住宅物业配建社区公共服务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用房实施细则</w:t>
      </w:r>
      <w:bookmarkStart w:id="0" w:name="_GoBack"/>
      <w:bookmarkEnd w:id="0"/>
      <w:r>
        <w:rPr>
          <w:rFonts w:hint="eastAsia" w:ascii="方正小标宋简体" w:hAnsi="方正小标宋简体" w:eastAsia="方正小标宋简体" w:cs="方正小标宋简体"/>
          <w:sz w:val="44"/>
          <w:szCs w:val="44"/>
          <w:lang w:val="en-US" w:eastAsia="zh-CN"/>
        </w:rPr>
        <w:t>（征求意见稿）</w:t>
      </w:r>
    </w:p>
    <w:p>
      <w:pPr>
        <w:pStyle w:val="2"/>
        <w:bidi w:val="0"/>
        <w:ind w:left="0" w:leftChars="0" w:firstLine="0" w:firstLineChars="0"/>
        <w:jc w:val="center"/>
        <w:rPr>
          <w:rFonts w:hint="eastAsia"/>
          <w:lang w:val="en-US" w:eastAsia="zh-CN"/>
        </w:rPr>
      </w:pPr>
    </w:p>
    <w:p>
      <w:pPr>
        <w:pStyle w:val="2"/>
        <w:bidi w:val="0"/>
        <w:ind w:left="0" w:leftChars="0" w:firstLine="0" w:firstLineChars="0"/>
        <w:jc w:val="center"/>
        <w:rPr>
          <w:rFonts w:hint="default"/>
          <w:lang w:val="en-US" w:eastAsia="zh-CN"/>
        </w:rPr>
      </w:pPr>
      <w:r>
        <w:rPr>
          <w:rFonts w:hint="eastAsia"/>
          <w:lang w:val="en-US" w:eastAsia="zh-CN"/>
        </w:rPr>
        <w:t>第一章 总则</w:t>
      </w:r>
    </w:p>
    <w:p>
      <w:pPr>
        <w:bidi w:val="0"/>
        <w:rPr>
          <w:rFonts w:hint="eastAsia"/>
          <w:lang w:val="en-US" w:eastAsia="zh-CN"/>
        </w:rPr>
      </w:pPr>
      <w:r>
        <w:rPr>
          <w:rStyle w:val="8"/>
          <w:rFonts w:hint="eastAsia"/>
          <w:lang w:val="en-US" w:eastAsia="zh-CN"/>
        </w:rPr>
        <w:t>第一条【目的和依据】</w:t>
      </w:r>
      <w:r>
        <w:rPr>
          <w:rFonts w:hint="eastAsia"/>
          <w:lang w:val="en-US" w:eastAsia="zh-CN"/>
        </w:rPr>
        <w:t>为规范本市行政区域内新建住宅物业配建社区公共服务用房，根据《城市居住区规划设计标准》（GB50180-2018）、《城市社区服务站建设标准》（建标167-2014）、《广东省物业管理条例》和《广东省住房和城乡建设厅 广东省民政厅关于规范新建住宅物业配建社区公共服务用房的通知》（粤建房〔2015〕122号）等相关规定和文件精神，结合我市实际，制定本实施细则。</w:t>
      </w:r>
    </w:p>
    <w:p>
      <w:pPr>
        <w:bidi w:val="0"/>
        <w:rPr>
          <w:rFonts w:hint="default"/>
          <w:lang w:val="en-US" w:eastAsia="zh-CN"/>
        </w:rPr>
      </w:pPr>
      <w:r>
        <w:rPr>
          <w:rStyle w:val="8"/>
          <w:rFonts w:hint="eastAsia"/>
          <w:lang w:val="en-US" w:eastAsia="zh-CN"/>
        </w:rPr>
        <w:t>第二条【适用范围】</w:t>
      </w:r>
      <w:r>
        <w:rPr>
          <w:rFonts w:hint="eastAsia"/>
          <w:lang w:val="en-US" w:eastAsia="zh-CN"/>
        </w:rPr>
        <w:t>本实施细则适用于普宁市行政区域内国有建设用地新建住宅物业社区公共服务用房的规划、建设、移交、登记和管理。</w:t>
      </w:r>
    </w:p>
    <w:p>
      <w:pPr>
        <w:rPr>
          <w:rFonts w:hint="eastAsia"/>
          <w:lang w:val="en-US" w:eastAsia="zh-CN"/>
        </w:rPr>
      </w:pPr>
      <w:r>
        <w:rPr>
          <w:rStyle w:val="8"/>
          <w:rFonts w:hint="eastAsia"/>
          <w:lang w:val="en-US" w:eastAsia="zh-CN"/>
        </w:rPr>
        <w:t>第三条【内涵定义】</w:t>
      </w:r>
      <w:r>
        <w:rPr>
          <w:rFonts w:hint="eastAsia"/>
          <w:lang w:val="en-US" w:eastAsia="zh-CN"/>
        </w:rPr>
        <w:t>本实施细则所称</w:t>
      </w:r>
      <w:r>
        <w:rPr>
          <w:rFonts w:hint="eastAsia"/>
          <w:color w:val="auto"/>
          <w:lang w:val="en-US" w:eastAsia="zh-CN"/>
        </w:rPr>
        <w:t>社区公共服务用房，</w:t>
      </w:r>
      <w:r>
        <w:rPr>
          <w:rFonts w:hint="eastAsia"/>
          <w:lang w:val="en-US" w:eastAsia="zh-CN"/>
        </w:rPr>
        <w:t>是指社区内开展公共服务、志愿互助服务和群众性活动的场所，主要包括社区党组织和社区居委会的工作用房、居民公益性服务活动用房。</w:t>
      </w:r>
    </w:p>
    <w:p>
      <w:pPr>
        <w:bidi w:val="0"/>
        <w:rPr>
          <w:rFonts w:hint="eastAsia"/>
          <w:lang w:val="en-US" w:eastAsia="zh-CN"/>
        </w:rPr>
      </w:pPr>
      <w:r>
        <w:rPr>
          <w:rStyle w:val="8"/>
          <w:rFonts w:hint="eastAsia"/>
          <w:lang w:val="en-US" w:eastAsia="zh-CN"/>
        </w:rPr>
        <w:t>第四条【部门职责】</w:t>
      </w:r>
      <w:r>
        <w:rPr>
          <w:rFonts w:hint="eastAsia"/>
          <w:lang w:val="en-US" w:eastAsia="zh-CN"/>
        </w:rPr>
        <w:t>市人民政府负责统筹管理本市行政区域内的社区公共服务用房。</w:t>
      </w:r>
    </w:p>
    <w:p>
      <w:pPr>
        <w:bidi w:val="0"/>
        <w:rPr>
          <w:rFonts w:hint="default"/>
          <w:lang w:val="en-US" w:eastAsia="zh-CN"/>
        </w:rPr>
      </w:pPr>
      <w:r>
        <w:rPr>
          <w:rFonts w:hint="eastAsia"/>
          <w:lang w:val="en-US" w:eastAsia="zh-CN"/>
        </w:rPr>
        <w:t>市委组织部负责牵头指导本市行政区域内社区公共服务用房的使用管理。</w:t>
      </w:r>
    </w:p>
    <w:p>
      <w:pPr>
        <w:bidi w:val="0"/>
        <w:rPr>
          <w:rFonts w:hint="eastAsia"/>
          <w:lang w:val="en-US" w:eastAsia="zh-CN"/>
        </w:rPr>
      </w:pPr>
      <w:r>
        <w:rPr>
          <w:rFonts w:hint="eastAsia"/>
          <w:lang w:val="en-US" w:eastAsia="zh-CN"/>
        </w:rPr>
        <w:t>市自然资源局负责本市行政区域内社区公共服务用房的规划管理，将社区公共服务用房配建要求纳入规划条件，在国有建设用地使用权出让时，依据规划条件将社区公共服务用房的配建要求纳入国有建设用地使用权出让合同。</w:t>
      </w:r>
    </w:p>
    <w:p>
      <w:pPr>
        <w:bidi w:val="0"/>
        <w:rPr>
          <w:rFonts w:hint="eastAsia"/>
          <w:lang w:val="en-US" w:eastAsia="zh-CN"/>
        </w:rPr>
      </w:pPr>
      <w:r>
        <w:rPr>
          <w:rFonts w:hint="eastAsia"/>
          <w:lang w:val="en-US" w:eastAsia="zh-CN"/>
        </w:rPr>
        <w:t>市民政局会同市自然资源局编制本市行政区域内社区公共服务用房布点规划，并负责拟定社区公共服务用房使用和管理的有关制度，监督、检查社区公共服务用房的使用情况。</w:t>
      </w:r>
    </w:p>
    <w:p>
      <w:pPr>
        <w:bidi w:val="0"/>
        <w:ind w:firstLine="640"/>
        <w:rPr>
          <w:rFonts w:hint="default"/>
          <w:lang w:val="en-US" w:eastAsia="zh-CN"/>
        </w:rPr>
      </w:pPr>
      <w:r>
        <w:rPr>
          <w:rFonts w:hint="eastAsia"/>
          <w:lang w:val="en-US" w:eastAsia="zh-CN"/>
        </w:rPr>
        <w:t>市住房和城乡建设局负责本市行政区域内社区公共服务用房的审核、监督和使用管理，严格依据规划条件、国有建设用地使用权出让合同和《建设工程规划许可证》要求，审核社区公共服务用房配建情况，并对移交的社区公共服务用房进行统一管理。</w:t>
      </w:r>
    </w:p>
    <w:p>
      <w:pPr>
        <w:bidi w:val="0"/>
        <w:rPr>
          <w:rFonts w:hint="eastAsia"/>
          <w:lang w:val="en-US" w:eastAsia="zh-CN"/>
        </w:rPr>
      </w:pPr>
      <w:r>
        <w:rPr>
          <w:rFonts w:hint="eastAsia"/>
          <w:lang w:val="en-US" w:eastAsia="zh-CN"/>
        </w:rPr>
        <w:t>市财政局负责将本市行政区域内社区公共服务用房列入国有资产并进行有效管理。</w:t>
      </w:r>
    </w:p>
    <w:p>
      <w:pPr>
        <w:bidi w:val="0"/>
        <w:rPr>
          <w:rFonts w:hint="eastAsia"/>
          <w:color w:val="auto"/>
          <w:lang w:val="en-US" w:eastAsia="zh-CN"/>
        </w:rPr>
      </w:pPr>
      <w:r>
        <w:rPr>
          <w:rFonts w:hint="default"/>
          <w:color w:val="auto"/>
          <w:lang w:val="en-US" w:eastAsia="zh-CN"/>
        </w:rPr>
        <w:t>乡（镇）人民政府（街道办事处</w:t>
      </w:r>
      <w:r>
        <w:rPr>
          <w:rFonts w:hint="eastAsia"/>
          <w:color w:val="auto"/>
          <w:lang w:val="en-US" w:eastAsia="zh-CN"/>
        </w:rPr>
        <w:t>、农场</w:t>
      </w:r>
      <w:r>
        <w:rPr>
          <w:rFonts w:hint="default"/>
          <w:color w:val="auto"/>
          <w:lang w:val="en-US" w:eastAsia="zh-CN"/>
        </w:rPr>
        <w:t>）</w:t>
      </w:r>
      <w:r>
        <w:rPr>
          <w:rFonts w:hint="eastAsia"/>
          <w:color w:val="auto"/>
          <w:lang w:val="en-US" w:eastAsia="zh-CN"/>
        </w:rPr>
        <w:t>负责落</w:t>
      </w:r>
      <w:r>
        <w:rPr>
          <w:rFonts w:hint="eastAsia"/>
          <w:lang w:val="en-US" w:eastAsia="zh-CN"/>
        </w:rPr>
        <w:t>实辖区内社区公共服务用房的接</w:t>
      </w:r>
      <w:r>
        <w:rPr>
          <w:rFonts w:hint="eastAsia"/>
          <w:color w:val="auto"/>
          <w:lang w:val="en-US" w:eastAsia="zh-CN"/>
        </w:rPr>
        <w:t>收、管理工作，并将接收的社区公共服务用房报市民政局进行备案后，交付社区无偿使用。</w:t>
      </w:r>
    </w:p>
    <w:p>
      <w:pPr>
        <w:bidi w:val="0"/>
        <w:rPr>
          <w:rFonts w:hint="default"/>
          <w:color w:val="auto"/>
          <w:lang w:val="en-US" w:eastAsia="zh-CN"/>
        </w:rPr>
      </w:pPr>
      <w:r>
        <w:rPr>
          <w:rFonts w:hint="eastAsia"/>
          <w:color w:val="auto"/>
          <w:lang w:val="en-US" w:eastAsia="zh-CN"/>
        </w:rPr>
        <w:t>其他相关政府职能部门按照各自职责，依法做好社区公共服务用房的管理工作。</w:t>
      </w:r>
    </w:p>
    <w:p>
      <w:pPr>
        <w:pStyle w:val="2"/>
        <w:bidi w:val="0"/>
        <w:ind w:left="0" w:leftChars="0" w:firstLine="0" w:firstLineChars="0"/>
        <w:jc w:val="center"/>
        <w:rPr>
          <w:rFonts w:hint="default"/>
          <w:lang w:val="en-US" w:eastAsia="zh-CN"/>
        </w:rPr>
      </w:pPr>
      <w:r>
        <w:rPr>
          <w:rFonts w:hint="eastAsia"/>
          <w:lang w:val="en-US" w:eastAsia="zh-CN"/>
        </w:rPr>
        <w:t>第二章 规划与建设</w:t>
      </w:r>
    </w:p>
    <w:p>
      <w:pPr>
        <w:rPr>
          <w:rFonts w:hint="eastAsia"/>
          <w:lang w:val="en-US" w:eastAsia="zh-CN"/>
        </w:rPr>
      </w:pPr>
      <w:r>
        <w:rPr>
          <w:rStyle w:val="8"/>
          <w:rFonts w:hint="eastAsia"/>
          <w:lang w:val="en-US" w:eastAsia="zh-CN"/>
        </w:rPr>
        <w:t>第五条【配建原则】</w:t>
      </w:r>
      <w:r>
        <w:rPr>
          <w:rFonts w:hint="eastAsia"/>
          <w:lang w:val="en-US" w:eastAsia="zh-CN"/>
        </w:rPr>
        <w:t>社区公共服务用房须与住宅物业项目同步规划、同步建设、同步验收、同步交付投入使用。若住宅物业项目需分期完成，社区公共服务用房应按开发建设总量进行统一规划，原则上安排在首期建设，不得拆分。</w:t>
      </w:r>
    </w:p>
    <w:p>
      <w:pPr>
        <w:rPr>
          <w:rFonts w:hint="eastAsia"/>
          <w:lang w:val="en-US" w:eastAsia="zh-CN"/>
        </w:rPr>
      </w:pPr>
      <w:r>
        <w:rPr>
          <w:rStyle w:val="8"/>
          <w:rFonts w:hint="eastAsia"/>
          <w:lang w:val="en-US" w:eastAsia="zh-CN"/>
        </w:rPr>
        <w:t>第六条【规划要求】</w:t>
      </w:r>
      <w:r>
        <w:rPr>
          <w:rFonts w:hint="eastAsia"/>
          <w:lang w:val="en-US" w:eastAsia="zh-CN"/>
        </w:rPr>
        <w:t>市自然资源局要将社区公共服务用房建设纳入国土空间规划，在组织编制控制性详细规划过程中，要包含社区公共服务用房的标准，结合地区人口规模和用地周边公共配套服务设施的具体设置情况，合理确定社区公共服务用房的建筑面积、坐落位置等。</w:t>
      </w:r>
    </w:p>
    <w:p>
      <w:pPr>
        <w:rPr>
          <w:rFonts w:hint="eastAsia"/>
          <w:lang w:val="en-US" w:eastAsia="zh-CN"/>
        </w:rPr>
      </w:pPr>
      <w:r>
        <w:rPr>
          <w:rStyle w:val="8"/>
          <w:rFonts w:hint="eastAsia"/>
          <w:lang w:val="en-US" w:eastAsia="zh-CN"/>
        </w:rPr>
        <w:t>第七条【配建方式】</w:t>
      </w:r>
      <w:r>
        <w:rPr>
          <w:rFonts w:hint="eastAsia"/>
          <w:lang w:val="en-US" w:eastAsia="zh-CN"/>
        </w:rPr>
        <w:t>开发建设单位依据国有建设用地使用权出让合同约定，配建新建住宅物业社区公共服务用房，并在建成后无偿移交给</w:t>
      </w:r>
      <w:r>
        <w:rPr>
          <w:rFonts w:hint="eastAsia" w:cs="Times New Roman"/>
          <w:color w:val="auto"/>
          <w:lang w:val="en-US" w:eastAsia="zh-CN"/>
        </w:rPr>
        <w:t>市住房和城乡建设局</w:t>
      </w:r>
      <w:r>
        <w:rPr>
          <w:rFonts w:hint="eastAsia"/>
          <w:color w:val="auto"/>
          <w:lang w:val="en-US" w:eastAsia="zh-CN"/>
        </w:rPr>
        <w:t>。</w:t>
      </w:r>
    </w:p>
    <w:p>
      <w:pPr>
        <w:rPr>
          <w:rFonts w:hint="eastAsia"/>
          <w:lang w:val="en-US" w:eastAsia="zh-CN"/>
        </w:rPr>
      </w:pPr>
      <w:r>
        <w:rPr>
          <w:rStyle w:val="8"/>
          <w:rFonts w:hint="eastAsia"/>
          <w:lang w:val="en-US" w:eastAsia="zh-CN"/>
        </w:rPr>
        <w:t>第八条【规划条件审核】</w:t>
      </w:r>
      <w:r>
        <w:rPr>
          <w:rFonts w:hint="eastAsia"/>
          <w:lang w:val="en-US" w:eastAsia="zh-CN"/>
        </w:rPr>
        <w:t>开发建设单位报批的建设工程设计方案，应按规划条件要求在设计图中注明社区公共服务用房的名称、建筑面积、坐落位置等具体内容，市自然资源局应依法予以严格审核。经审批同意核发《建设工程规划许可证》的，应依法在政府网站进行公告；对未达到配建要求的建设工程设计方案，市自然资源局不予审批，且不予核发《建设工程规划许可证》。</w:t>
      </w:r>
    </w:p>
    <w:p>
      <w:pPr>
        <w:rPr>
          <w:rFonts w:hint="eastAsia"/>
          <w:color w:val="auto"/>
          <w:lang w:val="en-US" w:eastAsia="zh-CN"/>
        </w:rPr>
      </w:pPr>
      <w:r>
        <w:rPr>
          <w:rStyle w:val="8"/>
          <w:rFonts w:hint="eastAsia"/>
          <w:lang w:val="en-US" w:eastAsia="zh-CN"/>
        </w:rPr>
        <w:t>第九条【配建面积标准】</w:t>
      </w:r>
      <w:r>
        <w:rPr>
          <w:rFonts w:hint="eastAsia"/>
          <w:lang w:val="en-US" w:eastAsia="zh-CN"/>
        </w:rPr>
        <w:t>社区公共服务用房根据新建住宅物业规模予以配建。</w:t>
      </w:r>
      <w:r>
        <w:rPr>
          <w:rFonts w:hint="eastAsia"/>
          <w:color w:val="auto"/>
          <w:lang w:val="en-US" w:eastAsia="zh-CN"/>
        </w:rPr>
        <w:t>原则上1000户（套）以下的社区，按600平方米（建筑面积，下同）用房面积配建社区公共服务用房；1000户（套）以上的社区，以600平方米为起点，按0.2平方米/户递增，配建社区公共服务用房（上限为1300平方米）。</w:t>
      </w:r>
    </w:p>
    <w:p>
      <w:pPr>
        <w:rPr>
          <w:rFonts w:hint="eastAsia"/>
          <w:lang w:val="en-US" w:eastAsia="zh-CN"/>
        </w:rPr>
      </w:pPr>
      <w:r>
        <w:rPr>
          <w:rStyle w:val="8"/>
          <w:rFonts w:hint="eastAsia"/>
          <w:lang w:val="en-US" w:eastAsia="zh-CN"/>
        </w:rPr>
        <w:t>第十条【建设标准】</w:t>
      </w:r>
      <w:r>
        <w:rPr>
          <w:rFonts w:hint="eastAsia"/>
          <w:lang w:val="en-US" w:eastAsia="zh-CN"/>
        </w:rPr>
        <w:t>社区公共服务用房应为独立成套的单体空间，独立主出入口、交通便利、空间宽敞。社区公共服务用房应集中配置在地上建筑首层、建筑面积不少于200平方米，该层建筑面积不足的可增配置在二层，不得配置在地下室、夹层或架空层；建筑层高不少于3.5米，须采光通风合理，符合办公建筑设计规范；建筑坐落位置应设置在便于开展服务和活动的位置，应面向市政道路，满足社区党组织、居委会一站式服务和党群活动需要，符合国家有关建筑工程质量要求，配备独立水、电、通信等基础设施。</w:t>
      </w:r>
    </w:p>
    <w:p>
      <w:pPr>
        <w:ind w:firstLine="640"/>
        <w:rPr>
          <w:rFonts w:hint="default"/>
          <w:lang w:val="en-US" w:eastAsia="zh-CN"/>
        </w:rPr>
      </w:pPr>
      <w:r>
        <w:rPr>
          <w:rStyle w:val="8"/>
          <w:rFonts w:hint="eastAsia"/>
          <w:lang w:val="en-US" w:eastAsia="zh-CN"/>
        </w:rPr>
        <w:t>第十一条【销售限制】</w:t>
      </w:r>
      <w:r>
        <w:rPr>
          <w:rStyle w:val="7"/>
          <w:rFonts w:hint="eastAsia"/>
          <w:lang w:val="en-US" w:eastAsia="zh-CN"/>
        </w:rPr>
        <w:t>国有建设用地使用权出让合同中</w:t>
      </w:r>
      <w:r>
        <w:rPr>
          <w:rFonts w:hint="eastAsia"/>
          <w:lang w:val="en-US" w:eastAsia="zh-CN"/>
        </w:rPr>
        <w:t>应明确规定，开发建设单位配建的社区公共服务用房</w:t>
      </w:r>
      <w:r>
        <w:rPr>
          <w:rFonts w:hint="default"/>
          <w:lang w:val="en-US" w:eastAsia="zh-CN"/>
        </w:rPr>
        <w:t>不得列入住宅物业的可售建筑面积或每套住宅的建设分摊面积</w:t>
      </w:r>
      <w:r>
        <w:rPr>
          <w:rFonts w:hint="eastAsia"/>
          <w:lang w:val="en-US" w:eastAsia="zh-CN"/>
        </w:rPr>
        <w:t>。</w:t>
      </w:r>
    </w:p>
    <w:p>
      <w:pPr>
        <w:pStyle w:val="2"/>
        <w:bidi w:val="0"/>
        <w:ind w:left="0" w:leftChars="0" w:firstLine="0" w:firstLineChars="0"/>
        <w:jc w:val="center"/>
        <w:rPr>
          <w:rFonts w:hint="default"/>
          <w:lang w:val="en-US" w:eastAsia="zh-CN"/>
        </w:rPr>
      </w:pPr>
      <w:r>
        <w:rPr>
          <w:rFonts w:hint="eastAsia"/>
          <w:lang w:val="en-US" w:eastAsia="zh-CN"/>
        </w:rPr>
        <w:t>第三章 验收、移交与管理</w:t>
      </w:r>
    </w:p>
    <w:p>
      <w:pPr>
        <w:rPr>
          <w:rFonts w:hint="eastAsia"/>
          <w:lang w:val="en-US" w:eastAsia="zh-CN"/>
        </w:rPr>
      </w:pPr>
      <w:r>
        <w:rPr>
          <w:rStyle w:val="8"/>
          <w:rFonts w:hint="eastAsia"/>
          <w:lang w:val="en-US" w:eastAsia="zh-CN"/>
        </w:rPr>
        <w:t>第十二条【竣工验收】</w:t>
      </w:r>
      <w:r>
        <w:rPr>
          <w:rFonts w:hint="eastAsia"/>
          <w:lang w:val="en-US" w:eastAsia="zh-CN"/>
        </w:rPr>
        <w:t>社区公共服务用房建设完成后，应当与新建住宅物业同步进行规划条件核实和竣工验收。</w:t>
      </w:r>
    </w:p>
    <w:p>
      <w:pPr>
        <w:rPr>
          <w:rFonts w:hint="eastAsia"/>
          <w:color w:val="auto"/>
          <w:lang w:val="en-US" w:eastAsia="zh-CN"/>
        </w:rPr>
      </w:pPr>
      <w:r>
        <w:rPr>
          <w:rStyle w:val="8"/>
          <w:rFonts w:hint="eastAsia"/>
          <w:lang w:val="en-US" w:eastAsia="zh-CN"/>
        </w:rPr>
        <w:t>第十三条【移交程序】</w:t>
      </w:r>
      <w:r>
        <w:rPr>
          <w:rFonts w:hint="eastAsia"/>
          <w:lang w:val="en-US" w:eastAsia="zh-CN"/>
        </w:rPr>
        <w:t>签订国有建设用地</w:t>
      </w:r>
      <w:r>
        <w:rPr>
          <w:rStyle w:val="7"/>
          <w:rFonts w:hint="eastAsia"/>
          <w:lang w:val="en-US" w:eastAsia="zh-CN"/>
        </w:rPr>
        <w:t>使用权出让合同时</w:t>
      </w:r>
      <w:r>
        <w:rPr>
          <w:rFonts w:hint="eastAsia"/>
          <w:lang w:val="en-US" w:eastAsia="zh-CN"/>
        </w:rPr>
        <w:t>，开发建设单位应在市自然资源局的监督指导下与市住房和城乡建设局签订《社区公共服务用房移交合同》，并约定将社区公共服务用房无偿</w:t>
      </w:r>
      <w:r>
        <w:rPr>
          <w:rFonts w:hint="eastAsia"/>
          <w:color w:val="auto"/>
          <w:lang w:val="en-US" w:eastAsia="zh-CN"/>
        </w:rPr>
        <w:t>移交给市住房和城乡建设局。</w:t>
      </w:r>
    </w:p>
    <w:p>
      <w:pPr>
        <w:rPr>
          <w:rFonts w:hint="eastAsia"/>
          <w:color w:val="auto"/>
          <w:lang w:val="en-US" w:eastAsia="zh-CN"/>
        </w:rPr>
      </w:pPr>
      <w:r>
        <w:rPr>
          <w:rFonts w:hint="eastAsia"/>
          <w:color w:val="auto"/>
          <w:lang w:val="en-US" w:eastAsia="zh-CN"/>
        </w:rPr>
        <w:t>竣工验收通过后，开发建设单位须与市住房和城乡建设局、乡（镇）人民政府（街道办事处、农场）签订《社区公共服务用房移交接收协议书》，由乡（镇）人民政府（街道办事处、农场）安排使用。乡（镇）人民政府（街道办事处、农场）应当定期将社区公共服务用房分配使用情况向市民政局备案。</w:t>
      </w:r>
    </w:p>
    <w:p>
      <w:pPr>
        <w:rPr>
          <w:rFonts w:hint="eastAsia"/>
          <w:color w:val="auto"/>
          <w:lang w:val="en-US" w:eastAsia="zh-CN"/>
        </w:rPr>
      </w:pPr>
      <w:r>
        <w:rPr>
          <w:rStyle w:val="8"/>
          <w:rFonts w:hint="eastAsia"/>
          <w:lang w:val="en-US" w:eastAsia="zh-CN"/>
        </w:rPr>
        <w:t>第十四条【产权登记】</w:t>
      </w:r>
      <w:r>
        <w:rPr>
          <w:rFonts w:hint="eastAsia"/>
          <w:lang w:val="en-US" w:eastAsia="zh-CN"/>
        </w:rPr>
        <w:t>开发建设单位</w:t>
      </w:r>
      <w:r>
        <w:rPr>
          <w:rFonts w:hint="eastAsia"/>
          <w:color w:val="auto"/>
          <w:lang w:val="en-US" w:eastAsia="zh-CN"/>
        </w:rPr>
        <w:t>应协助市住房和城乡建设局办理社区公共服务用房产权登记。社区公共服务用房属于国有资产，市不动产登记部门应根据申请依法对社区公共服务用房产权予以首次登记在市住房和城乡建设局名下。</w:t>
      </w:r>
    </w:p>
    <w:p>
      <w:pPr>
        <w:rPr>
          <w:rFonts w:hint="eastAsia"/>
          <w:color w:val="auto"/>
          <w:lang w:val="en-US" w:eastAsia="zh-CN"/>
        </w:rPr>
      </w:pPr>
      <w:r>
        <w:rPr>
          <w:rStyle w:val="8"/>
          <w:rFonts w:hint="eastAsia"/>
          <w:lang w:val="en-US" w:eastAsia="zh-CN"/>
        </w:rPr>
        <w:t>第十五条【监管主体】</w:t>
      </w:r>
      <w:r>
        <w:rPr>
          <w:rFonts w:hint="eastAsia"/>
          <w:color w:val="auto"/>
          <w:lang w:val="en-US" w:eastAsia="zh-CN"/>
        </w:rPr>
        <w:t>乡（镇）人民政府（街道办事处、农场）负责做好辖区内社区公共服务用房日常使用情况的监管工作，定期向市委组织部、市民政局、市住房和城乡建设局汇报社区公共服务用房的使用情况。</w:t>
      </w:r>
    </w:p>
    <w:p>
      <w:pPr>
        <w:rPr>
          <w:rFonts w:hint="eastAsia"/>
          <w:lang w:val="en-US" w:eastAsia="zh-CN"/>
        </w:rPr>
      </w:pPr>
      <w:r>
        <w:rPr>
          <w:rStyle w:val="8"/>
          <w:rFonts w:hint="eastAsia"/>
          <w:lang w:val="en-US" w:eastAsia="zh-CN"/>
        </w:rPr>
        <w:t>第十六条【使用管理】</w:t>
      </w:r>
      <w:r>
        <w:rPr>
          <w:rFonts w:hint="eastAsia"/>
          <w:lang w:val="en-US" w:eastAsia="zh-CN"/>
        </w:rPr>
        <w:t>社区公共服务用房必须严格按照规划批准用途建设和使用，任何单位和个人不得以任何名义侵占或擅自改变其使用性质，不得用于经营、出租、转让、抵押或挪作他用。</w:t>
      </w:r>
    </w:p>
    <w:p>
      <w:pPr>
        <w:bidi w:val="0"/>
        <w:rPr>
          <w:rFonts w:hint="eastAsia"/>
          <w:lang w:val="en-US" w:eastAsia="zh-CN"/>
        </w:rPr>
      </w:pPr>
      <w:r>
        <w:rPr>
          <w:rStyle w:val="8"/>
          <w:rFonts w:hint="eastAsia"/>
          <w:lang w:val="en-US" w:eastAsia="zh-CN"/>
        </w:rPr>
        <w:t>第十七条【违规处置】</w:t>
      </w:r>
      <w:r>
        <w:rPr>
          <w:rFonts w:hint="eastAsia"/>
          <w:lang w:val="en-US" w:eastAsia="zh-CN"/>
        </w:rPr>
        <w:t>开发建设单位和使用单位违反本实施细</w:t>
      </w:r>
      <w:r>
        <w:rPr>
          <w:rFonts w:hint="eastAsia"/>
          <w:color w:val="auto"/>
          <w:lang w:val="en-US" w:eastAsia="zh-CN"/>
        </w:rPr>
        <w:t>则第十六条规定的，由市自然资源局、市住房和城乡建设局、市城市管理和综合执</w:t>
      </w:r>
      <w:r>
        <w:rPr>
          <w:rFonts w:hint="eastAsia"/>
          <w:lang w:val="en-US" w:eastAsia="zh-CN"/>
        </w:rPr>
        <w:t>法局按照《中华人民共和国城乡规划法》《中华人民共和国建筑法》《中华人民共和国土地管理法》的有关规定进行处罚。</w:t>
      </w:r>
    </w:p>
    <w:p>
      <w:pPr>
        <w:pStyle w:val="2"/>
        <w:bidi w:val="0"/>
        <w:ind w:left="0" w:leftChars="0" w:firstLine="0" w:firstLineChars="0"/>
        <w:jc w:val="center"/>
        <w:rPr>
          <w:rFonts w:hint="default"/>
          <w:lang w:val="en-US" w:eastAsia="zh-CN"/>
        </w:rPr>
      </w:pPr>
      <w:r>
        <w:rPr>
          <w:rFonts w:hint="eastAsia"/>
          <w:lang w:val="en-US" w:eastAsia="zh-CN"/>
        </w:rPr>
        <w:t>第四章 附则</w:t>
      </w:r>
    </w:p>
    <w:p>
      <w:pPr>
        <w:bidi w:val="0"/>
        <w:rPr>
          <w:rFonts w:hint="eastAsia"/>
          <w:lang w:val="en-US" w:eastAsia="zh-CN"/>
        </w:rPr>
      </w:pPr>
      <w:r>
        <w:rPr>
          <w:rStyle w:val="8"/>
          <w:rFonts w:hint="eastAsia"/>
          <w:lang w:val="en-US" w:eastAsia="zh-CN"/>
        </w:rPr>
        <w:t>第十八条【划拨用地管理】</w:t>
      </w:r>
      <w:r>
        <w:rPr>
          <w:rStyle w:val="7"/>
          <w:rFonts w:hint="eastAsia"/>
          <w:lang w:val="en-US" w:eastAsia="zh-CN"/>
        </w:rPr>
        <w:t>划拨</w:t>
      </w:r>
      <w:r>
        <w:rPr>
          <w:rFonts w:hint="eastAsia"/>
          <w:lang w:val="en-US" w:eastAsia="zh-CN"/>
        </w:rPr>
        <w:t>国有建设用地新建住宅物业社区公共服务用房的，参照本实施细则执行。</w:t>
      </w:r>
    </w:p>
    <w:p>
      <w:pPr>
        <w:bidi w:val="0"/>
        <w:rPr>
          <w:rFonts w:hint="default"/>
          <w:lang w:val="en-US" w:eastAsia="zh-CN"/>
        </w:rPr>
      </w:pPr>
      <w:r>
        <w:rPr>
          <w:rStyle w:val="8"/>
          <w:rFonts w:hint="eastAsia"/>
          <w:lang w:val="en-US" w:eastAsia="zh-CN"/>
        </w:rPr>
        <w:t>第十九条【有效期】</w:t>
      </w:r>
      <w:r>
        <w:rPr>
          <w:rFonts w:hint="eastAsia"/>
          <w:lang w:val="en-US" w:eastAsia="zh-CN"/>
        </w:rPr>
        <w:t>本实施细则自发布之日起施行，有效期5年。</w:t>
      </w:r>
      <w:r>
        <w:rPr>
          <w:rFonts w:hint="eastAsia" w:eastAsia="仿宋_GB2312"/>
        </w:rPr>
        <w:t>有效期内如遇法律、法规或有关政策调整变化的，从其规定</w:t>
      </w:r>
      <w:r>
        <w:rPr>
          <w:rFonts w:hint="eastAsia"/>
          <w:lang w:val="en-US" w:eastAsia="zh-CN"/>
        </w:rPr>
        <w:t>。</w:t>
      </w:r>
    </w:p>
    <w:sectPr>
      <w:footerReference r:id="rId5" w:type="default"/>
      <w:pgSz w:w="11906" w:h="16838"/>
      <w:pgMar w:top="2007"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WY4MjMwY2RjMzkwYTlmYWY4NWJiZjBlYjMxOGIifQ=="/>
  </w:docVars>
  <w:rsids>
    <w:rsidRoot w:val="00000000"/>
    <w:rsid w:val="01AB0327"/>
    <w:rsid w:val="02012F8A"/>
    <w:rsid w:val="0368364C"/>
    <w:rsid w:val="03BE5F89"/>
    <w:rsid w:val="04B0389B"/>
    <w:rsid w:val="06D57857"/>
    <w:rsid w:val="07280E5C"/>
    <w:rsid w:val="0879140A"/>
    <w:rsid w:val="087F09A0"/>
    <w:rsid w:val="088C6DAF"/>
    <w:rsid w:val="095F3CE3"/>
    <w:rsid w:val="0AFF56CB"/>
    <w:rsid w:val="0B6652FD"/>
    <w:rsid w:val="0C106FA8"/>
    <w:rsid w:val="0DC37C2D"/>
    <w:rsid w:val="0DFB63A2"/>
    <w:rsid w:val="0F8C280E"/>
    <w:rsid w:val="10512697"/>
    <w:rsid w:val="11944239"/>
    <w:rsid w:val="1791069D"/>
    <w:rsid w:val="18FB1570"/>
    <w:rsid w:val="192A5572"/>
    <w:rsid w:val="1988673C"/>
    <w:rsid w:val="19AE603C"/>
    <w:rsid w:val="1DB16262"/>
    <w:rsid w:val="1E8804B0"/>
    <w:rsid w:val="1ED03A72"/>
    <w:rsid w:val="1FFE2E0D"/>
    <w:rsid w:val="20896B46"/>
    <w:rsid w:val="21334821"/>
    <w:rsid w:val="229D50E2"/>
    <w:rsid w:val="22A5729D"/>
    <w:rsid w:val="2445126A"/>
    <w:rsid w:val="24A13B34"/>
    <w:rsid w:val="24B61A74"/>
    <w:rsid w:val="251915B4"/>
    <w:rsid w:val="25777646"/>
    <w:rsid w:val="27715253"/>
    <w:rsid w:val="28C826B1"/>
    <w:rsid w:val="28FD42C3"/>
    <w:rsid w:val="2B3318B3"/>
    <w:rsid w:val="2BA70CA4"/>
    <w:rsid w:val="2C1846A5"/>
    <w:rsid w:val="2C652043"/>
    <w:rsid w:val="2CA043E2"/>
    <w:rsid w:val="2E41718E"/>
    <w:rsid w:val="2F520F27"/>
    <w:rsid w:val="2F903482"/>
    <w:rsid w:val="3172765E"/>
    <w:rsid w:val="31AB491E"/>
    <w:rsid w:val="321157C5"/>
    <w:rsid w:val="33657ED8"/>
    <w:rsid w:val="33961049"/>
    <w:rsid w:val="33FD38FD"/>
    <w:rsid w:val="34DF2FE2"/>
    <w:rsid w:val="34FA1E45"/>
    <w:rsid w:val="36213711"/>
    <w:rsid w:val="364118C1"/>
    <w:rsid w:val="36D857CF"/>
    <w:rsid w:val="37256F21"/>
    <w:rsid w:val="37E61C46"/>
    <w:rsid w:val="39A4503F"/>
    <w:rsid w:val="39CA7117"/>
    <w:rsid w:val="3A667F7C"/>
    <w:rsid w:val="3CFB73D7"/>
    <w:rsid w:val="421502BE"/>
    <w:rsid w:val="42277FF1"/>
    <w:rsid w:val="42B37AD7"/>
    <w:rsid w:val="436D66B3"/>
    <w:rsid w:val="45791E4B"/>
    <w:rsid w:val="476D231D"/>
    <w:rsid w:val="47816660"/>
    <w:rsid w:val="48232927"/>
    <w:rsid w:val="48BB79BB"/>
    <w:rsid w:val="48DE4DA9"/>
    <w:rsid w:val="49D40B48"/>
    <w:rsid w:val="4A8A5409"/>
    <w:rsid w:val="4ABE63CB"/>
    <w:rsid w:val="4B086A70"/>
    <w:rsid w:val="4B61224C"/>
    <w:rsid w:val="4D560BC5"/>
    <w:rsid w:val="4DCD410F"/>
    <w:rsid w:val="4EAD7AD0"/>
    <w:rsid w:val="4ECC2480"/>
    <w:rsid w:val="4F7F141F"/>
    <w:rsid w:val="50155B2E"/>
    <w:rsid w:val="51C159B6"/>
    <w:rsid w:val="5213603D"/>
    <w:rsid w:val="551268DF"/>
    <w:rsid w:val="558C48E3"/>
    <w:rsid w:val="56513437"/>
    <w:rsid w:val="569A75B1"/>
    <w:rsid w:val="56DE480A"/>
    <w:rsid w:val="57814D2A"/>
    <w:rsid w:val="578721FB"/>
    <w:rsid w:val="590D6490"/>
    <w:rsid w:val="5A3C668C"/>
    <w:rsid w:val="5AA93841"/>
    <w:rsid w:val="5C2C6790"/>
    <w:rsid w:val="5C3356D5"/>
    <w:rsid w:val="5CEE5536"/>
    <w:rsid w:val="5D312670"/>
    <w:rsid w:val="5E4E6BDA"/>
    <w:rsid w:val="5F7953D0"/>
    <w:rsid w:val="61AC501F"/>
    <w:rsid w:val="62157A0E"/>
    <w:rsid w:val="62285EAA"/>
    <w:rsid w:val="62B5631F"/>
    <w:rsid w:val="63A423C9"/>
    <w:rsid w:val="65B57AE4"/>
    <w:rsid w:val="65C05BB1"/>
    <w:rsid w:val="66911DDE"/>
    <w:rsid w:val="67446795"/>
    <w:rsid w:val="68456453"/>
    <w:rsid w:val="69622487"/>
    <w:rsid w:val="6A1D1EA5"/>
    <w:rsid w:val="6AF428B7"/>
    <w:rsid w:val="6C6047B6"/>
    <w:rsid w:val="6CDF5F1C"/>
    <w:rsid w:val="7067475F"/>
    <w:rsid w:val="71551BD5"/>
    <w:rsid w:val="7381515F"/>
    <w:rsid w:val="73DA2545"/>
    <w:rsid w:val="74036125"/>
    <w:rsid w:val="746501E1"/>
    <w:rsid w:val="74923E43"/>
    <w:rsid w:val="75634903"/>
    <w:rsid w:val="78823A93"/>
    <w:rsid w:val="78AA0A59"/>
    <w:rsid w:val="7929217B"/>
    <w:rsid w:val="79A14DEF"/>
    <w:rsid w:val="79CE69C9"/>
    <w:rsid w:val="7AC32C6E"/>
    <w:rsid w:val="7C227EB8"/>
    <w:rsid w:val="7DB42244"/>
    <w:rsid w:val="7DD60FF7"/>
    <w:rsid w:val="7E3F7855"/>
    <w:rsid w:val="7FDF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Times New Roman" w:hAnsi="Times New Roman" w:eastAsia="仿宋_GB2312" w:cs="Times New Roman"/>
      <w:kern w:val="2"/>
      <w:sz w:val="32"/>
      <w:szCs w:val="28"/>
      <w:lang w:val="en-US" w:eastAsia="zh-CN" w:bidi="ar-SA"/>
    </w:rPr>
  </w:style>
  <w:style w:type="paragraph" w:styleId="2">
    <w:name w:val="heading 1"/>
    <w:basedOn w:val="1"/>
    <w:next w:val="1"/>
    <w:link w:val="8"/>
    <w:qFormat/>
    <w:uiPriority w:val="0"/>
    <w:pPr>
      <w:keepNext/>
      <w:keepLines/>
      <w:spacing w:beforeLines="0" w:beforeAutospacing="0" w:afterLines="0" w:afterAutospacing="0" w:line="360" w:lineRule="auto"/>
      <w:outlineLvl w:val="0"/>
    </w:pPr>
    <w:rPr>
      <w:rFonts w:eastAsia="黑体"/>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0"/>
    <w:rPr>
      <w:rFonts w:eastAsia="黑体"/>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2541</Words>
  <Characters>2583</Characters>
  <Lines>0</Lines>
  <Paragraphs>0</Paragraphs>
  <TotalTime>1</TotalTime>
  <ScaleCrop>false</ScaleCrop>
  <LinksUpToDate>false</LinksUpToDate>
  <CharactersWithSpaces>2588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2023-04-19T00:56:00Z</dcterms:created>
  <dc:creator>PC</dc:creator>
  <cp:lastModifiedBy>Dell</cp:lastModifiedBy>
  <dcterms:modified xsi:type="dcterms:W3CDTF">2023-10-23T07:13:03Z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43ABE3FA26314165ACB96E2177E13C6B_13</vt:lpwstr>
  </property>
</Properties>
</file>