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sz w:val="44"/>
          <w:szCs w:val="44"/>
        </w:rPr>
        <w:t>高埔镇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sz w:val="44"/>
          <w:szCs w:val="44"/>
        </w:rPr>
        <w:t>年法治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sz w:val="44"/>
          <w:szCs w:val="44"/>
          <w:lang w:eastAsia="zh-CN"/>
        </w:rPr>
        <w:t>年度报告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法治政府建设是全面依法治国的重点任务和主体工程，是推进国家治理体系和治理能力现代化的重要支撑。2023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市委、市政府的坚强领导下，在市委依法治市办的指导下，我镇认真贯彻市委、市政府推进法治建设的工作要求，切实抓好全面推进依法行政工作要点，努力提升依法行政水平，加快建设法治政府，较好地完成了全年工作任务，为构建和谐社会提供了法治保障。现将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年法治政府建设工作情况汇报如下: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深入学习宣传贯彻习近平法治思想的情况</w:t>
      </w:r>
    </w:p>
    <w:p>
      <w:pPr>
        <w:pStyle w:val="3"/>
        <w:bidi w:val="0"/>
        <w:rPr>
          <w:rFonts w:hint="eastAsia" w:ascii="楷体" w:hAnsi="楷体" w:eastAsia="楷体" w:cs="楷体"/>
          <w:b/>
          <w:bCs w:val="0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lang w:val="en-US" w:eastAsia="zh-CN"/>
        </w:rPr>
        <w:t>（一）学习宣传的推动情况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深入学习宣传贯彻习近平法治思想，大力弘扬宪法精神，要始终坚持宪法确定的中国共产党领导地位不动摇。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学习宣传贯彻习近平法治思想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紧密结合党史学习教育和“八五”普法实施，全面加强法规学习，强化法治观念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;学习贯彻习近平新时代中国特色社会主义思想主题教育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推动落实的具体措施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完善工作人员学习宪法法律的制度，推动领导干部加强宪法学习，增强宪法意识，带头尊崇宪法、学习宪法、遵守宪法、维护宪法、运用宪法，做尊法学法守法用法的模范。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完善领导干部日常学法机制，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学习宣传贯彻习近平法治思想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列入镇党政领导班子中心组学习的重要内容，中心组学习法律知识和法学理论。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举办了多场法治专题培训课和法治专题讲座。落实机关干部和村（居）干部学法考法制度，每年组织1次专题法治轮训，确保基层党员干部普法参学率和合格率达到100%。2、我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镇通过“6.26”国际禁毒日、“12.4”宪法宣传日举办现场咨询活动，各村（居）利用在主要街道、路口、悬挂横幅、定期不定期利用橱窗、专栏、黑板报等灵活多样的宣传形式，大力宣传法律知识、依法行政，让群众知法、学法，增强他们利用法律武器保护自己合法权益的意识，从侧面推进法治政府建设。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加强针对青少年的宪法宣传教育，充分发挥课堂主渠道作用，推进宪法教育进校园进课堂进头脑，推动宪法教育与研学实践教育、社会实践和志愿服务等紧密结合，探索建立宪法与法治宣传教育的长效机制。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镇司法所多次到全镇各中、小学校组织法治宣传讲座，营造良好学法守法氛围，有效确保青少年违法犯罪率持续下降。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通过不同形式的法制宣传活动，公民的法治意识不断增强。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2023年度党政主要负责人履行推进法治建设第一责任人职责、加强法治政府建设的有关情况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为加强对法治政府建设工作的组织领导和推动各项工作顺利推进，我镇党委、政府高度重视，多次专门召开了专题党政联席会议，及时调整了依法行政工作领导小组，进一步明确了书记、镇长为第一责任人亲自抓，分管领导直接抓，部门协同推进的工作领导机构，层层落实责任，传导压力，形成了齐抓共管的工作格局。同时镇党委、镇政府把依法行政工作列入重要议事日程并专题研究、周密部署和适时督查工作运行情况，并出台了相关工作方案，明确了依法行政工作重点，落实部门职责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推进法治政府建设的有关情况</w:t>
      </w:r>
    </w:p>
    <w:p>
      <w:pPr>
        <w:pStyle w:val="3"/>
        <w:bidi w:val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（一）2023年度的主要工作举措和成效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高埔镇委、镇政府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坚持科学决策、民主决策、依法决策，着力实行行政决策程序规定严格落实、决策质量和效率显著提高。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我镇党政机关干部职工积极投身法治政府建设工作中，带头依法办事，在机关学习会上继续深入学习了行政复议法、行政处罚法及行政诉讼法等法律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进一步增强了机关工作人员依法行政意识和行政执法的责任意识。镇党政班子无发生违纪案件和渎职、贪污、受贿等刑事案件，群众对党风廉政建设满意度达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%以上，受到广大群众好评。党委政府建立健全法律顾问机制，聘请了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海马律师事务所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为政府常年法律顾问，为政府提供法律咨询。落实重大事项决策合法合规性审查制度，在重大事项决策上广泛征求群众意见开展风险评估、合法性审核和集体讨论决定，健全重大决策风险评估机制，把社会稳定风险评估作为重大决策出台的前置程序，全镇无因行政决策不当或程序不完善印发重大群体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全面从严治理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，营造良好法治环境。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积极发挥综治信访维稳中心职能，全面推开 “中心+网络化+信息化”工作模式，加强涉黑涉恶线索摸排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坚持对涉黑涉恶行为“零容忍”态度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加大群众监督和举报力度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充分利用镇、村两级网格加强信息摸排，及时掌控线索信息，及时汇总上报，实现“无毒”村（居）创建、“无毒”场所创建和无种植、制造毒品创建率达到100%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。加强违法犯罪打击力度，今年共抓获吸毒人员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10个，贩毒人员2个，保障我镇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社会治安秩序良好。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全面开展安全隐患排查工作，无发生重大安全事故。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完善矛盾纠纷排查化解机制，积极妥善处理涉法涉诉信访案件，建立社会矛盾调处机制，充分发挥人民调解委员会机制的作用，实现无因矛盾调处不及时或调处不当引发集体上访或群体性事件。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进一步加强社会治安防控体系建设，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坚持对辖区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17个村（社区）全覆盖常态化走访调研，先后投入约150万元实现了辖区行政村视频联网全覆盖，成功打造环镇、环村两级治安防控网络，同时在下营设立治安卡口，大大加强了我镇治安防控体系建设。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开展预防青少年违法犯罪工作，做好青少年、刑满释放人员，社区矫正人员、社区涉毒（康复）人员、涉邪教人员、服务和管理工作，全力解决影响群众安全的突出问题。</w:t>
      </w:r>
    </w:p>
    <w:p>
      <w:pPr>
        <w:pStyle w:val="3"/>
        <w:bidi w:val="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（二）存在的不足和原因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2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顾全年法治建设工作，虽然取得了一定的成绩，但工作标准还有待进一步提高，工作成效还需巩固提质，问题主要表现在：一是对法律、法规的学习虽已进入常态化，但应用于指导实践、推动工作的水平不足；二是开展系统性、全局性的普法宣传工作的全面统筹能力还有待进一步提高。</w:t>
      </w:r>
    </w:p>
    <w:p>
      <w:pPr>
        <w:pStyle w:val="3"/>
        <w:bidi w:val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（三）2024年度推进法治政府建设的主要安排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2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年我镇将严格按照上级要求进一步加大法治政府建设工作力度，寻找差距、弥补不足，认真贯彻党的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和习近平总书记关于法治政府建设的重要指示精神，立足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职能职责，开展依法行政。扎实开展好法治教育培训等各项基础工作，全力推进法治政府建设各项制度落到实处，努力推动我镇法治政府建设工作再上一个新台阶，为建设社会主义新农村创造良好的法治环境。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高埔镇人民政府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6A578"/>
    <w:multiLevelType w:val="singleLevel"/>
    <w:tmpl w:val="76E6A5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575636"/>
    <w:multiLevelType w:val="singleLevel"/>
    <w:tmpl w:val="7E5756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TY2MjE1MzBhZWViNjMzMDc3YTY3ZGExNjViZjgifQ=="/>
    <w:docVar w:name="KSO_WPS_MARK_KEY" w:val="f850fb87-3b28-4f9d-9dbb-8aa9949d0068"/>
  </w:docVars>
  <w:rsids>
    <w:rsidRoot w:val="00000000"/>
    <w:rsid w:val="07697496"/>
    <w:rsid w:val="25AF41F8"/>
    <w:rsid w:val="3C94120E"/>
    <w:rsid w:val="417D4A30"/>
    <w:rsid w:val="6B474F90"/>
    <w:rsid w:val="6E5F273D"/>
    <w:rsid w:val="70D57410"/>
    <w:rsid w:val="78293DFE"/>
    <w:rsid w:val="7EBE4A34"/>
    <w:rsid w:val="7F3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2387</Words>
  <Characters>2434</Characters>
  <Lines>0</Lines>
  <Paragraphs>0</Paragraphs>
  <TotalTime>3</TotalTime>
  <ScaleCrop>false</ScaleCrop>
  <LinksUpToDate>false</LinksUpToDate>
  <CharactersWithSpaces>2458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2021-12-27T08:30:00Z</dcterms:created>
  <dc:creator>Administrator</dc:creator>
  <cp:lastModifiedBy>Z</cp:lastModifiedBy>
  <dcterms:modified xsi:type="dcterms:W3CDTF">2024-01-30T06:46:56Z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CE98230B54944D45BAEA87AC694146A5</vt:lpwstr>
  </property>
</Properties>
</file>