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2A3" w:rsidRDefault="005E279B">
      <w:pPr>
        <w:spacing w:line="640" w:lineRule="exact"/>
        <w:ind w:left="357"/>
        <w:jc w:val="center"/>
        <w:rPr>
          <w:rFonts w:eastAsia="仿宋"/>
          <w:b/>
          <w:bCs/>
          <w:sz w:val="44"/>
          <w:szCs w:val="44"/>
        </w:rPr>
      </w:pPr>
      <w:bookmarkStart w:id="0" w:name="_Hlk72843735"/>
      <w:r>
        <w:rPr>
          <w:rFonts w:eastAsia="仿宋"/>
          <w:b/>
          <w:bCs/>
          <w:sz w:val="44"/>
          <w:szCs w:val="44"/>
        </w:rPr>
        <w:t>揭阳市普宁市</w:t>
      </w:r>
      <w:r>
        <w:rPr>
          <w:rFonts w:eastAsia="仿宋"/>
          <w:b/>
          <w:bCs/>
          <w:sz w:val="44"/>
          <w:szCs w:val="44"/>
        </w:rPr>
        <w:t>2023</w:t>
      </w:r>
      <w:r>
        <w:rPr>
          <w:rFonts w:eastAsia="仿宋"/>
          <w:b/>
          <w:bCs/>
          <w:sz w:val="44"/>
          <w:szCs w:val="44"/>
        </w:rPr>
        <w:t>年度土地征收成片</w:t>
      </w:r>
    </w:p>
    <w:p w:rsidR="002422A3" w:rsidRDefault="005E279B">
      <w:pPr>
        <w:spacing w:line="640" w:lineRule="exact"/>
        <w:ind w:left="357"/>
        <w:jc w:val="center"/>
        <w:rPr>
          <w:rFonts w:eastAsia="仿宋"/>
          <w:b/>
          <w:bCs/>
          <w:sz w:val="44"/>
          <w:szCs w:val="44"/>
        </w:rPr>
      </w:pPr>
      <w:r>
        <w:rPr>
          <w:rFonts w:eastAsia="仿宋"/>
          <w:b/>
          <w:bCs/>
          <w:sz w:val="44"/>
          <w:szCs w:val="44"/>
        </w:rPr>
        <w:t>开发方案</w:t>
      </w:r>
      <w:bookmarkEnd w:id="0"/>
      <w:r>
        <w:rPr>
          <w:rFonts w:eastAsia="仿宋"/>
          <w:b/>
          <w:bCs/>
          <w:sz w:val="44"/>
          <w:szCs w:val="44"/>
        </w:rPr>
        <w:t>（第二批）（公示草稿）</w:t>
      </w:r>
    </w:p>
    <w:p w:rsidR="002422A3" w:rsidRDefault="002422A3">
      <w:pPr>
        <w:pStyle w:val="aa"/>
        <w:spacing w:line="360" w:lineRule="auto"/>
        <w:ind w:left="810" w:firstLineChars="0" w:firstLine="0"/>
        <w:rPr>
          <w:rStyle w:val="fontstyle01"/>
          <w:rFonts w:ascii="Times New Roman" w:eastAsia="仿宋"/>
          <w:b/>
          <w:bCs/>
          <w:color w:val="auto"/>
          <w:sz w:val="36"/>
          <w:szCs w:val="36"/>
        </w:rPr>
      </w:pPr>
    </w:p>
    <w:p w:rsidR="002422A3" w:rsidRDefault="005E279B">
      <w:pPr>
        <w:pStyle w:val="aa"/>
        <w:numPr>
          <w:ilvl w:val="0"/>
          <w:numId w:val="1"/>
        </w:numPr>
        <w:spacing w:line="360" w:lineRule="auto"/>
        <w:ind w:firstLineChars="0"/>
        <w:rPr>
          <w:rFonts w:eastAsia="仿宋"/>
          <w:b/>
          <w:bCs/>
          <w:sz w:val="36"/>
          <w:szCs w:val="36"/>
        </w:rPr>
      </w:pPr>
      <w:r>
        <w:rPr>
          <w:rStyle w:val="fontstyle01"/>
          <w:rFonts w:ascii="Times New Roman" w:eastAsia="仿宋"/>
          <w:b/>
          <w:bCs/>
          <w:color w:val="auto"/>
          <w:sz w:val="36"/>
          <w:szCs w:val="36"/>
        </w:rPr>
        <w:t>编制依据</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依据《中华人民共和国土地管理法》（</w:t>
      </w:r>
      <w:r>
        <w:rPr>
          <w:rStyle w:val="fontstyle01"/>
          <w:rFonts w:ascii="Times New Roman" w:eastAsia="仿宋"/>
          <w:color w:val="auto"/>
          <w:sz w:val="28"/>
          <w:szCs w:val="28"/>
        </w:rPr>
        <w:t>2019</w:t>
      </w:r>
      <w:r>
        <w:rPr>
          <w:rStyle w:val="fontstyle01"/>
          <w:rFonts w:ascii="Times New Roman" w:eastAsia="仿宋"/>
          <w:color w:val="auto"/>
          <w:sz w:val="28"/>
          <w:szCs w:val="28"/>
        </w:rPr>
        <w:t>年）、《土地征收成片开发标准》（自然资规〔</w:t>
      </w:r>
      <w:r>
        <w:rPr>
          <w:rStyle w:val="fontstyle01"/>
          <w:rFonts w:ascii="Times New Roman" w:eastAsia="仿宋"/>
          <w:color w:val="auto"/>
          <w:sz w:val="28"/>
          <w:szCs w:val="28"/>
        </w:rPr>
        <w:t>2023</w:t>
      </w:r>
      <w:r>
        <w:rPr>
          <w:rStyle w:val="fontstyle01"/>
          <w:rFonts w:ascii="Times New Roman" w:eastAsia="仿宋"/>
          <w:color w:val="auto"/>
          <w:sz w:val="28"/>
          <w:szCs w:val="28"/>
        </w:rPr>
        <w:t>〕</w:t>
      </w:r>
      <w:r>
        <w:rPr>
          <w:rStyle w:val="fontstyle01"/>
          <w:rFonts w:ascii="Times New Roman" w:eastAsia="仿宋"/>
          <w:color w:val="auto"/>
          <w:sz w:val="28"/>
          <w:szCs w:val="28"/>
        </w:rPr>
        <w:t>7</w:t>
      </w:r>
      <w:r>
        <w:rPr>
          <w:rStyle w:val="fontstyle01"/>
          <w:rFonts w:ascii="Times New Roman" w:eastAsia="仿宋"/>
          <w:color w:val="auto"/>
          <w:sz w:val="28"/>
          <w:szCs w:val="28"/>
        </w:rPr>
        <w:t>号）、《广东省自然资源厅关于规范土地征收成片开发工作的通知》（粤自然资发〔</w:t>
      </w:r>
      <w:r>
        <w:rPr>
          <w:rStyle w:val="fontstyle01"/>
          <w:rFonts w:ascii="Times New Roman" w:eastAsia="仿宋"/>
          <w:color w:val="auto"/>
          <w:sz w:val="28"/>
          <w:szCs w:val="28"/>
        </w:rPr>
        <w:t>2021</w:t>
      </w:r>
      <w:r>
        <w:rPr>
          <w:rStyle w:val="fontstyle01"/>
          <w:rFonts w:ascii="Times New Roman" w:eastAsia="仿宋"/>
          <w:color w:val="auto"/>
          <w:sz w:val="28"/>
          <w:szCs w:val="28"/>
        </w:rPr>
        <w:t>〕</w:t>
      </w:r>
      <w:r>
        <w:rPr>
          <w:rStyle w:val="fontstyle01"/>
          <w:rFonts w:ascii="Times New Roman" w:eastAsia="仿宋"/>
          <w:color w:val="auto"/>
          <w:sz w:val="28"/>
          <w:szCs w:val="28"/>
        </w:rPr>
        <w:t>20</w:t>
      </w:r>
      <w:r>
        <w:rPr>
          <w:rStyle w:val="fontstyle01"/>
          <w:rFonts w:ascii="Times New Roman" w:eastAsia="仿宋"/>
          <w:color w:val="auto"/>
          <w:sz w:val="28"/>
          <w:szCs w:val="28"/>
        </w:rPr>
        <w:t>号）等相关文件，编制《揭阳市普宁市</w:t>
      </w:r>
      <w:r>
        <w:rPr>
          <w:rStyle w:val="fontstyle01"/>
          <w:rFonts w:ascii="Times New Roman" w:eastAsia="仿宋"/>
          <w:color w:val="auto"/>
          <w:sz w:val="28"/>
          <w:szCs w:val="28"/>
        </w:rPr>
        <w:t>2023</w:t>
      </w:r>
      <w:r>
        <w:rPr>
          <w:rStyle w:val="fontstyle01"/>
          <w:rFonts w:ascii="Times New Roman" w:eastAsia="仿宋"/>
          <w:color w:val="auto"/>
          <w:sz w:val="28"/>
          <w:szCs w:val="28"/>
        </w:rPr>
        <w:t>年度土地征收成片开发方案（第二批）》</w:t>
      </w:r>
      <w:r>
        <w:rPr>
          <w:rFonts w:eastAsia="仿宋"/>
          <w:sz w:val="28"/>
          <w:szCs w:val="28"/>
        </w:rPr>
        <w:t>（以下简称</w:t>
      </w:r>
      <w:r>
        <w:rPr>
          <w:rFonts w:eastAsia="仿宋"/>
          <w:sz w:val="28"/>
          <w:szCs w:val="28"/>
        </w:rPr>
        <w:t>“</w:t>
      </w:r>
      <w:r>
        <w:rPr>
          <w:rFonts w:eastAsia="仿宋"/>
          <w:sz w:val="28"/>
          <w:szCs w:val="28"/>
        </w:rPr>
        <w:t>本方案</w:t>
      </w:r>
      <w:r>
        <w:rPr>
          <w:rFonts w:eastAsia="仿宋"/>
          <w:sz w:val="28"/>
          <w:szCs w:val="28"/>
        </w:rPr>
        <w:t>”</w:t>
      </w:r>
      <w:r>
        <w:rPr>
          <w:rFonts w:eastAsia="仿宋"/>
          <w:sz w:val="28"/>
          <w:szCs w:val="28"/>
        </w:rPr>
        <w:t>）</w:t>
      </w:r>
      <w:r>
        <w:rPr>
          <w:rStyle w:val="fontstyle01"/>
          <w:rFonts w:ascii="Times New Roman" w:eastAsia="仿宋"/>
          <w:color w:val="auto"/>
          <w:sz w:val="28"/>
          <w:szCs w:val="28"/>
        </w:rPr>
        <w:t>。</w:t>
      </w: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基本情况</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（一）成片开发范围基本情况</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本方案拟实行土地征收成片开发范围总面积</w:t>
      </w:r>
      <w:r w:rsidR="00D81082">
        <w:rPr>
          <w:rStyle w:val="fontstyle01"/>
          <w:rFonts w:ascii="Times New Roman" w:eastAsia="仿宋"/>
          <w:color w:val="auto"/>
          <w:sz w:val="28"/>
          <w:szCs w:val="28"/>
        </w:rPr>
        <w:t>105.1773</w:t>
      </w:r>
      <w:r>
        <w:rPr>
          <w:rStyle w:val="fontstyle01"/>
          <w:rFonts w:ascii="Times New Roman" w:eastAsia="仿宋"/>
          <w:color w:val="auto"/>
          <w:sz w:val="28"/>
          <w:szCs w:val="28"/>
        </w:rPr>
        <w:t>公顷，其中拟征收范围面积</w:t>
      </w:r>
      <w:r w:rsidR="00D81082">
        <w:rPr>
          <w:rStyle w:val="fontstyle01"/>
          <w:rFonts w:ascii="Times New Roman" w:eastAsia="仿宋"/>
          <w:color w:val="auto"/>
          <w:sz w:val="28"/>
          <w:szCs w:val="28"/>
        </w:rPr>
        <w:t>87.8222</w:t>
      </w:r>
      <w:r>
        <w:rPr>
          <w:rStyle w:val="fontstyle01"/>
          <w:rFonts w:ascii="Times New Roman" w:eastAsia="仿宋"/>
          <w:color w:val="auto"/>
          <w:sz w:val="28"/>
          <w:szCs w:val="28"/>
        </w:rPr>
        <w:t>公顷，征地面积占成片开发总面积的</w:t>
      </w:r>
      <w:r>
        <w:rPr>
          <w:rStyle w:val="fontstyle01"/>
          <w:rFonts w:ascii="Times New Roman" w:eastAsia="仿宋"/>
          <w:color w:val="auto"/>
          <w:sz w:val="28"/>
          <w:szCs w:val="28"/>
        </w:rPr>
        <w:t>83.50%</w:t>
      </w:r>
      <w:r>
        <w:rPr>
          <w:rStyle w:val="fontstyle01"/>
          <w:rFonts w:ascii="Times New Roman" w:eastAsia="仿宋"/>
          <w:color w:val="auto"/>
          <w:sz w:val="28"/>
          <w:szCs w:val="28"/>
        </w:rPr>
        <w:t>。成片开发范围共包含</w:t>
      </w:r>
      <w:r>
        <w:rPr>
          <w:rStyle w:val="fontstyle01"/>
          <w:rFonts w:ascii="Times New Roman" w:eastAsia="仿宋"/>
          <w:color w:val="auto"/>
          <w:sz w:val="28"/>
          <w:szCs w:val="28"/>
        </w:rPr>
        <w:t>9</w:t>
      </w:r>
      <w:r>
        <w:rPr>
          <w:rStyle w:val="fontstyle01"/>
          <w:rFonts w:ascii="Times New Roman" w:eastAsia="仿宋"/>
          <w:color w:val="auto"/>
          <w:sz w:val="28"/>
          <w:szCs w:val="28"/>
        </w:rPr>
        <w:t>个片区，具体如下表所示：</w:t>
      </w:r>
    </w:p>
    <w:p w:rsidR="002422A3" w:rsidRDefault="005E279B">
      <w:pPr>
        <w:spacing w:line="360" w:lineRule="auto"/>
        <w:jc w:val="center"/>
        <w:rPr>
          <w:rFonts w:eastAsia="仿宋"/>
          <w:b/>
          <w:sz w:val="24"/>
        </w:rPr>
      </w:pPr>
      <w:r>
        <w:rPr>
          <w:rFonts w:eastAsia="仿宋"/>
          <w:b/>
          <w:sz w:val="24"/>
        </w:rPr>
        <w:t>表</w:t>
      </w:r>
      <w:r>
        <w:rPr>
          <w:rFonts w:eastAsia="仿宋"/>
          <w:b/>
          <w:sz w:val="24"/>
        </w:rPr>
        <w:t>2-1</w:t>
      </w:r>
      <w:r>
        <w:rPr>
          <w:rFonts w:eastAsia="仿宋"/>
          <w:b/>
          <w:sz w:val="24"/>
        </w:rPr>
        <w:t>成片开发范围详细信息一览表</w:t>
      </w:r>
    </w:p>
    <w:p w:rsidR="002422A3" w:rsidRDefault="005E279B">
      <w:pPr>
        <w:spacing w:line="360" w:lineRule="auto"/>
        <w:ind w:firstLineChars="200" w:firstLine="480"/>
        <w:jc w:val="right"/>
        <w:rPr>
          <w:rFonts w:eastAsia="仿宋"/>
          <w:sz w:val="30"/>
          <w:szCs w:val="30"/>
        </w:rPr>
      </w:pPr>
      <w:r>
        <w:rPr>
          <w:rFonts w:eastAsia="仿宋"/>
          <w:sz w:val="24"/>
        </w:rPr>
        <w:t>单位：公顷</w:t>
      </w:r>
    </w:p>
    <w:tbl>
      <w:tblPr>
        <w:tblW w:w="5076" w:type="pct"/>
        <w:jc w:val="center"/>
        <w:tblLayout w:type="fixed"/>
        <w:tblLook w:val="04A0"/>
      </w:tblPr>
      <w:tblGrid>
        <w:gridCol w:w="606"/>
        <w:gridCol w:w="1507"/>
        <w:gridCol w:w="1152"/>
        <w:gridCol w:w="1062"/>
        <w:gridCol w:w="1206"/>
        <w:gridCol w:w="993"/>
        <w:gridCol w:w="1133"/>
        <w:gridCol w:w="993"/>
      </w:tblGrid>
      <w:tr w:rsidR="002422A3">
        <w:trPr>
          <w:trHeight w:val="290"/>
          <w:tblHeader/>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kern w:val="0"/>
                <w:szCs w:val="21"/>
              </w:rPr>
            </w:pPr>
            <w:r>
              <w:rPr>
                <w:rFonts w:eastAsia="仿宋"/>
                <w:b/>
                <w:bCs/>
                <w:kern w:val="0"/>
                <w:szCs w:val="21"/>
              </w:rPr>
              <w:t>序号</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项目片区名称</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kern w:val="0"/>
                <w:szCs w:val="21"/>
              </w:rPr>
            </w:pPr>
            <w:r>
              <w:rPr>
                <w:rFonts w:eastAsia="仿宋"/>
                <w:b/>
                <w:bCs/>
                <w:kern w:val="0"/>
                <w:szCs w:val="21"/>
              </w:rPr>
              <w:t>片区</w:t>
            </w:r>
          </w:p>
          <w:p w:rsidR="002422A3" w:rsidRDefault="005E279B">
            <w:pPr>
              <w:widowControl/>
              <w:adjustRightInd w:val="0"/>
              <w:snapToGrid w:val="0"/>
              <w:jc w:val="center"/>
              <w:textAlignment w:val="center"/>
              <w:rPr>
                <w:rFonts w:eastAsia="仿宋"/>
                <w:b/>
                <w:bCs/>
                <w:szCs w:val="21"/>
              </w:rPr>
            </w:pPr>
            <w:r>
              <w:rPr>
                <w:rFonts w:eastAsia="仿宋"/>
                <w:b/>
                <w:bCs/>
                <w:kern w:val="0"/>
                <w:szCs w:val="21"/>
              </w:rPr>
              <w:t>面积</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片区符合规划情况</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征地地块名称</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kern w:val="0"/>
                <w:szCs w:val="21"/>
              </w:rPr>
            </w:pPr>
            <w:r>
              <w:rPr>
                <w:rFonts w:eastAsia="仿宋"/>
                <w:b/>
                <w:bCs/>
                <w:kern w:val="0"/>
                <w:szCs w:val="21"/>
              </w:rPr>
              <w:t>征地</w:t>
            </w:r>
          </w:p>
          <w:p w:rsidR="002422A3" w:rsidRDefault="005E279B">
            <w:pPr>
              <w:widowControl/>
              <w:adjustRightInd w:val="0"/>
              <w:snapToGrid w:val="0"/>
              <w:jc w:val="center"/>
              <w:textAlignment w:val="center"/>
              <w:rPr>
                <w:rFonts w:eastAsia="仿宋"/>
                <w:b/>
                <w:bCs/>
                <w:szCs w:val="21"/>
              </w:rPr>
            </w:pPr>
            <w:r>
              <w:rPr>
                <w:rFonts w:eastAsia="仿宋"/>
                <w:b/>
                <w:bCs/>
                <w:kern w:val="0"/>
                <w:szCs w:val="21"/>
              </w:rPr>
              <w:t>面积</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征地地块符合规划情况</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征地面积占比</w:t>
            </w:r>
          </w:p>
        </w:tc>
      </w:tr>
      <w:tr w:rsidR="002422A3">
        <w:trPr>
          <w:trHeight w:val="2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东部创新城</w:t>
            </w:r>
            <w:r>
              <w:rPr>
                <w:rFonts w:eastAsia="仿宋"/>
                <w:szCs w:val="21"/>
              </w:rPr>
              <w:t>-01</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50.2212</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符合城规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东部创新城产业用地地块</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42.3304</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符合土规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84.29%</w:t>
            </w:r>
          </w:p>
        </w:tc>
      </w:tr>
      <w:tr w:rsidR="002422A3">
        <w:trPr>
          <w:trHeight w:val="632"/>
          <w:jc w:val="center"/>
        </w:trPr>
        <w:tc>
          <w:tcPr>
            <w:tcW w:w="351" w:type="pct"/>
            <w:tcBorders>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2</w:t>
            </w:r>
          </w:p>
        </w:tc>
        <w:tc>
          <w:tcPr>
            <w:tcW w:w="870" w:type="pct"/>
            <w:tcBorders>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东部创新城</w:t>
            </w:r>
            <w:r>
              <w:rPr>
                <w:rFonts w:eastAsia="仿宋"/>
                <w:szCs w:val="21"/>
              </w:rPr>
              <w:t>-02</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29.904</w:t>
            </w:r>
            <w:r>
              <w:rPr>
                <w:rFonts w:eastAsia="仿宋" w:hint="eastAsia"/>
                <w:szCs w:val="21"/>
              </w:rPr>
              <w:t>4</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符合城规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东部创新城研发总部地块</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26.2597</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符合城规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87.81%</w:t>
            </w:r>
          </w:p>
        </w:tc>
      </w:tr>
      <w:tr w:rsidR="002422A3">
        <w:trPr>
          <w:trHeight w:val="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3</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kern w:val="0"/>
                <w:szCs w:val="21"/>
              </w:rPr>
            </w:pPr>
            <w:r>
              <w:rPr>
                <w:rFonts w:eastAsia="仿宋"/>
                <w:szCs w:val="21"/>
              </w:rPr>
              <w:t>西部生态优化片</w:t>
            </w:r>
            <w:r>
              <w:rPr>
                <w:rFonts w:eastAsia="仿宋"/>
                <w:szCs w:val="21"/>
              </w:rPr>
              <w:t>-01</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2.4091</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符合土规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居住地块</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1.4455</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符合土规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60.00%</w:t>
            </w:r>
          </w:p>
        </w:tc>
      </w:tr>
      <w:tr w:rsidR="002422A3">
        <w:trPr>
          <w:trHeight w:val="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4</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kern w:val="0"/>
                <w:szCs w:val="21"/>
              </w:rPr>
            </w:pPr>
            <w:r>
              <w:rPr>
                <w:rFonts w:eastAsia="仿宋"/>
                <w:szCs w:val="21"/>
              </w:rPr>
              <w:t>西部生态优化片</w:t>
            </w:r>
            <w:r>
              <w:rPr>
                <w:rFonts w:eastAsia="仿宋"/>
                <w:szCs w:val="21"/>
              </w:rPr>
              <w:t>-02</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1.1416</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符合控规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高埔镇屠宰场</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0.6849</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符合土规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60.00%</w:t>
            </w:r>
          </w:p>
        </w:tc>
      </w:tr>
      <w:tr w:rsidR="002422A3">
        <w:trPr>
          <w:trHeight w:val="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5</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kern w:val="0"/>
                <w:szCs w:val="21"/>
              </w:rPr>
            </w:pPr>
            <w:r>
              <w:rPr>
                <w:rFonts w:eastAsia="仿宋"/>
                <w:szCs w:val="21"/>
              </w:rPr>
              <w:t>占陇镇园联动区</w:t>
            </w:r>
            <w:r>
              <w:rPr>
                <w:rFonts w:eastAsia="仿宋"/>
                <w:szCs w:val="21"/>
              </w:rPr>
              <w:t>-01</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1.0336</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符合控规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占陇镇屠宰场</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1.0336</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符合土规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100.00%</w:t>
            </w:r>
          </w:p>
        </w:tc>
      </w:tr>
      <w:tr w:rsidR="002422A3">
        <w:trPr>
          <w:trHeight w:val="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lastRenderedPageBreak/>
              <w:t>6</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kern w:val="0"/>
                <w:szCs w:val="21"/>
              </w:rPr>
            </w:pPr>
            <w:r>
              <w:rPr>
                <w:rFonts w:eastAsia="仿宋"/>
                <w:szCs w:val="21"/>
              </w:rPr>
              <w:t>占陇镇园联动区</w:t>
            </w:r>
            <w:r>
              <w:rPr>
                <w:rFonts w:eastAsia="仿宋"/>
                <w:szCs w:val="21"/>
              </w:rPr>
              <w:t>-02</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0.8555</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符合控规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下架山镇屠宰场</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0.8555</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符合土规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100.00%</w:t>
            </w:r>
          </w:p>
        </w:tc>
      </w:tr>
      <w:tr w:rsidR="002422A3">
        <w:trPr>
          <w:trHeight w:val="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7</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kern w:val="0"/>
                <w:szCs w:val="21"/>
              </w:rPr>
            </w:pPr>
            <w:r>
              <w:rPr>
                <w:rFonts w:eastAsia="仿宋"/>
                <w:szCs w:val="21"/>
              </w:rPr>
              <w:t>普宁产业转移工业园</w:t>
            </w:r>
            <w:r>
              <w:rPr>
                <w:rFonts w:eastAsia="仿宋"/>
                <w:szCs w:val="21"/>
              </w:rPr>
              <w:t>-01</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D81082">
            <w:pPr>
              <w:widowControl/>
              <w:adjustRightInd w:val="0"/>
              <w:snapToGrid w:val="0"/>
              <w:jc w:val="center"/>
              <w:textAlignment w:val="center"/>
              <w:rPr>
                <w:rFonts w:eastAsia="仿宋"/>
                <w:kern w:val="0"/>
                <w:szCs w:val="21"/>
              </w:rPr>
            </w:pPr>
            <w:r>
              <w:rPr>
                <w:rFonts w:eastAsia="仿宋" w:hint="eastAsia"/>
                <w:szCs w:val="21"/>
              </w:rPr>
              <w:t>5.8888</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符合控规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大坝镇屠宰场</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D81082">
            <w:pPr>
              <w:widowControl/>
              <w:adjustRightInd w:val="0"/>
              <w:snapToGrid w:val="0"/>
              <w:jc w:val="center"/>
              <w:textAlignment w:val="center"/>
              <w:rPr>
                <w:rFonts w:eastAsia="仿宋"/>
                <w:kern w:val="0"/>
                <w:szCs w:val="21"/>
              </w:rPr>
            </w:pPr>
            <w:r>
              <w:rPr>
                <w:rFonts w:eastAsia="仿宋" w:hint="eastAsia"/>
                <w:szCs w:val="21"/>
              </w:rPr>
              <w:t>5.8888</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符合土规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100.00%</w:t>
            </w:r>
          </w:p>
        </w:tc>
      </w:tr>
      <w:tr w:rsidR="002422A3">
        <w:trPr>
          <w:trHeight w:val="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8</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kern w:val="0"/>
                <w:szCs w:val="21"/>
              </w:rPr>
            </w:pPr>
            <w:r>
              <w:rPr>
                <w:rFonts w:eastAsia="仿宋"/>
                <w:szCs w:val="21"/>
              </w:rPr>
              <w:t>普宁产业转移工业园</w:t>
            </w:r>
            <w:r>
              <w:rPr>
                <w:rFonts w:eastAsia="仿宋"/>
                <w:szCs w:val="21"/>
              </w:rPr>
              <w:t>-02</w:t>
            </w:r>
            <w:r>
              <w:rPr>
                <w:rFonts w:eastAsia="仿宋"/>
                <w:szCs w:val="21"/>
              </w:rPr>
              <w:t>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12.9002</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符合控规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保税区地块</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8.5009</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符合城规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65.90%</w:t>
            </w:r>
          </w:p>
        </w:tc>
      </w:tr>
      <w:tr w:rsidR="002422A3">
        <w:trPr>
          <w:trHeight w:val="9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9</w:t>
            </w:r>
          </w:p>
        </w:tc>
        <w:tc>
          <w:tcPr>
            <w:tcW w:w="8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kern w:val="0"/>
                <w:szCs w:val="21"/>
              </w:rPr>
            </w:pPr>
            <w:r>
              <w:rPr>
                <w:rFonts w:eastAsia="仿宋"/>
                <w:szCs w:val="21"/>
              </w:rPr>
              <w:t>东部城乡融合片区</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0.8229</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符合控规</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南径镇屠宰场</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0.8229</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符合土规</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100.00%</w:t>
            </w:r>
          </w:p>
        </w:tc>
      </w:tr>
      <w:tr w:rsidR="002422A3">
        <w:trPr>
          <w:trHeight w:val="290"/>
          <w:jc w:val="center"/>
        </w:trPr>
        <w:tc>
          <w:tcPr>
            <w:tcW w:w="12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合计</w:t>
            </w:r>
          </w:p>
        </w:tc>
        <w:tc>
          <w:tcPr>
            <w:tcW w:w="6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D81082">
            <w:pPr>
              <w:widowControl/>
              <w:jc w:val="center"/>
              <w:rPr>
                <w:rFonts w:eastAsia="仿宋"/>
                <w:szCs w:val="21"/>
              </w:rPr>
            </w:pPr>
            <w:r>
              <w:rPr>
                <w:rFonts w:eastAsia="仿宋"/>
                <w:szCs w:val="21"/>
              </w:rPr>
              <w:t>105.1773</w:t>
            </w:r>
          </w:p>
        </w:tc>
        <w:tc>
          <w:tcPr>
            <w:tcW w:w="6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w:t>
            </w:r>
          </w:p>
        </w:tc>
        <w:tc>
          <w:tcPr>
            <w:tcW w:w="6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D81082">
            <w:pPr>
              <w:widowControl/>
              <w:adjustRightInd w:val="0"/>
              <w:snapToGrid w:val="0"/>
              <w:jc w:val="center"/>
              <w:textAlignment w:val="center"/>
              <w:rPr>
                <w:rFonts w:eastAsia="仿宋"/>
                <w:szCs w:val="21"/>
              </w:rPr>
            </w:pPr>
            <w:r>
              <w:rPr>
                <w:rFonts w:eastAsia="仿宋"/>
                <w:kern w:val="0"/>
                <w:szCs w:val="21"/>
              </w:rPr>
              <w:t>87.8222</w:t>
            </w:r>
          </w:p>
        </w:tc>
        <w:tc>
          <w:tcPr>
            <w:tcW w:w="65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w:t>
            </w:r>
          </w:p>
        </w:tc>
        <w:tc>
          <w:tcPr>
            <w:tcW w:w="5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83.50%</w:t>
            </w:r>
          </w:p>
        </w:tc>
      </w:tr>
    </w:tbl>
    <w:p w:rsidR="002422A3" w:rsidRDefault="002422A3">
      <w:pPr>
        <w:spacing w:line="360" w:lineRule="auto"/>
        <w:jc w:val="right"/>
        <w:rPr>
          <w:rFonts w:eastAsia="仿宋"/>
          <w:sz w:val="24"/>
        </w:rPr>
      </w:pPr>
    </w:p>
    <w:p w:rsidR="002422A3" w:rsidRDefault="005E279B">
      <w:pPr>
        <w:adjustRightInd w:val="0"/>
        <w:snapToGrid w:val="0"/>
        <w:spacing w:line="288" w:lineRule="auto"/>
        <w:rPr>
          <w:rStyle w:val="fontstyle01"/>
          <w:rFonts w:ascii="Times New Roman" w:eastAsia="仿宋"/>
          <w:b/>
          <w:bCs/>
          <w:color w:val="auto"/>
        </w:rPr>
      </w:pPr>
      <w:r>
        <w:rPr>
          <w:rStyle w:val="fontstyle01"/>
          <w:rFonts w:ascii="Times New Roman" w:eastAsia="仿宋"/>
          <w:b/>
          <w:bCs/>
          <w:color w:val="auto"/>
        </w:rPr>
        <w:t>（二）成片开发范围内拟征地农民集体情况</w:t>
      </w:r>
    </w:p>
    <w:p w:rsidR="002422A3" w:rsidRDefault="005E279B">
      <w:pPr>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本次土地征收成片开发范围总面积</w:t>
      </w:r>
      <w:r w:rsidR="00D81082">
        <w:rPr>
          <w:rStyle w:val="fontstyle01"/>
          <w:rFonts w:ascii="Times New Roman" w:eastAsia="仿宋"/>
          <w:color w:val="auto"/>
          <w:sz w:val="28"/>
          <w:szCs w:val="28"/>
        </w:rPr>
        <w:t>105.1773</w:t>
      </w:r>
      <w:r>
        <w:rPr>
          <w:rStyle w:val="fontstyle01"/>
          <w:rFonts w:ascii="Times New Roman" w:eastAsia="仿宋"/>
          <w:color w:val="auto"/>
          <w:sz w:val="28"/>
          <w:szCs w:val="28"/>
        </w:rPr>
        <w:t>公顷，拟征收范围面积</w:t>
      </w:r>
      <w:r w:rsidR="00D81082">
        <w:rPr>
          <w:rStyle w:val="fontstyle01"/>
          <w:rFonts w:ascii="Times New Roman" w:eastAsia="仿宋"/>
          <w:color w:val="auto"/>
          <w:sz w:val="28"/>
          <w:szCs w:val="28"/>
        </w:rPr>
        <w:t>87.8222</w:t>
      </w:r>
      <w:r>
        <w:rPr>
          <w:rStyle w:val="fontstyle01"/>
          <w:rFonts w:ascii="Times New Roman" w:eastAsia="仿宋"/>
          <w:color w:val="auto"/>
          <w:sz w:val="28"/>
          <w:szCs w:val="28"/>
        </w:rPr>
        <w:t>公顷，具体如下表所示：</w:t>
      </w:r>
    </w:p>
    <w:p w:rsidR="002422A3" w:rsidRDefault="005E279B">
      <w:pPr>
        <w:spacing w:line="240" w:lineRule="atLeast"/>
        <w:ind w:firstLine="561"/>
        <w:jc w:val="center"/>
        <w:rPr>
          <w:rFonts w:eastAsia="仿宋"/>
          <w:b/>
          <w:sz w:val="24"/>
        </w:rPr>
      </w:pPr>
      <w:r>
        <w:rPr>
          <w:rFonts w:eastAsia="仿宋"/>
          <w:b/>
          <w:sz w:val="24"/>
        </w:rPr>
        <w:t>表</w:t>
      </w:r>
      <w:r>
        <w:rPr>
          <w:rFonts w:eastAsia="仿宋"/>
          <w:b/>
          <w:sz w:val="24"/>
        </w:rPr>
        <w:t>2-2</w:t>
      </w:r>
      <w:r>
        <w:rPr>
          <w:rFonts w:eastAsia="仿宋"/>
          <w:b/>
          <w:sz w:val="24"/>
        </w:rPr>
        <w:t>成片开发范围内拟征地农民集体面积一览表</w:t>
      </w:r>
    </w:p>
    <w:p w:rsidR="002422A3" w:rsidRDefault="005E279B">
      <w:pPr>
        <w:adjustRightInd w:val="0"/>
        <w:snapToGrid w:val="0"/>
        <w:jc w:val="right"/>
        <w:rPr>
          <w:rFonts w:eastAsia="仿宋"/>
          <w:sz w:val="24"/>
        </w:rPr>
      </w:pPr>
      <w:r>
        <w:rPr>
          <w:rFonts w:eastAsia="仿宋"/>
          <w:sz w:val="24"/>
        </w:rPr>
        <w:t>单位：公顷</w:t>
      </w:r>
      <w:r>
        <w:rPr>
          <w:rFonts w:eastAsia="仿宋"/>
          <w:sz w:val="24"/>
        </w:rPr>
        <w:tab/>
      </w:r>
    </w:p>
    <w:tbl>
      <w:tblPr>
        <w:tblW w:w="8217" w:type="dxa"/>
        <w:tblInd w:w="113" w:type="dxa"/>
        <w:tblLook w:val="04A0"/>
      </w:tblPr>
      <w:tblGrid>
        <w:gridCol w:w="1555"/>
        <w:gridCol w:w="2693"/>
        <w:gridCol w:w="1843"/>
        <w:gridCol w:w="2126"/>
      </w:tblGrid>
      <w:tr w:rsidR="002422A3">
        <w:trPr>
          <w:trHeight w:val="285"/>
          <w:tblHead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镇街</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权属单位</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片区面积（公顷）</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小计（公顷）</w:t>
            </w:r>
          </w:p>
        </w:tc>
      </w:tr>
      <w:tr w:rsidR="002422A3">
        <w:trPr>
          <w:trHeight w:val="285"/>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占陇镇</w:t>
            </w: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陂头经济联合社</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4.0738</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64.5778</w:t>
            </w: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北门经济联合社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12.6316</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定厝寮经济联合社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0.9918</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东西南经济联合社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17.7502</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六营经济联合社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7.8748</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西楼经济联合社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1.0336</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玉溪经济联合社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19.966</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延长埔经济联合社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0.256</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流沙东街道</w:t>
            </w: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郭厝寮经济联合社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5.0459</w:t>
            </w:r>
          </w:p>
        </w:tc>
        <w:tc>
          <w:tcPr>
            <w:tcW w:w="2126"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5.0459</w:t>
            </w:r>
          </w:p>
        </w:tc>
      </w:tr>
      <w:tr w:rsidR="002422A3">
        <w:trPr>
          <w:trHeight w:val="285"/>
        </w:trPr>
        <w:tc>
          <w:tcPr>
            <w:tcW w:w="1555" w:type="dxa"/>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下架山镇</w:t>
            </w: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葵岭经济联合社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0.8555</w:t>
            </w:r>
          </w:p>
        </w:tc>
        <w:tc>
          <w:tcPr>
            <w:tcW w:w="2126"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0.8555</w:t>
            </w:r>
          </w:p>
        </w:tc>
      </w:tr>
      <w:tr w:rsidR="002422A3">
        <w:trPr>
          <w:trHeight w:val="285"/>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云落镇</w:t>
            </w: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大池经济联合社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0.4372</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1.4455</w:t>
            </w: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中央寨经济联合社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1.0083</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大坝镇</w:t>
            </w: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半径经济联合社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3.0691</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D81082">
            <w:pPr>
              <w:widowControl/>
              <w:jc w:val="center"/>
              <w:rPr>
                <w:rFonts w:eastAsia="仿宋"/>
                <w:kern w:val="0"/>
                <w:szCs w:val="21"/>
              </w:rPr>
            </w:pPr>
            <w:r>
              <w:rPr>
                <w:rFonts w:eastAsia="仿宋" w:hint="eastAsia"/>
                <w:kern w:val="0"/>
                <w:szCs w:val="21"/>
              </w:rPr>
              <w:t>14.3897</w:t>
            </w: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横山经济联合社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3.6779</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社前经济联合社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1.7539</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155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铁山洋经济联合社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D81082">
            <w:pPr>
              <w:widowControl/>
              <w:jc w:val="center"/>
              <w:rPr>
                <w:rFonts w:eastAsia="仿宋"/>
                <w:kern w:val="0"/>
                <w:szCs w:val="21"/>
              </w:rPr>
            </w:pPr>
            <w:r>
              <w:rPr>
                <w:rFonts w:eastAsia="仿宋" w:hint="eastAsia"/>
                <w:kern w:val="0"/>
                <w:szCs w:val="21"/>
              </w:rPr>
              <w:t>5.8888</w:t>
            </w:r>
          </w:p>
        </w:tc>
        <w:tc>
          <w:tcPr>
            <w:tcW w:w="2126"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45"/>
        </w:trPr>
        <w:tc>
          <w:tcPr>
            <w:tcW w:w="1555" w:type="dxa"/>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南径镇</w:t>
            </w: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锡坑经济联合社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0.8229</w:t>
            </w:r>
          </w:p>
        </w:tc>
        <w:tc>
          <w:tcPr>
            <w:tcW w:w="2126"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0.8229</w:t>
            </w:r>
          </w:p>
        </w:tc>
      </w:tr>
      <w:tr w:rsidR="002422A3">
        <w:trPr>
          <w:trHeight w:val="345"/>
        </w:trPr>
        <w:tc>
          <w:tcPr>
            <w:tcW w:w="1555" w:type="dxa"/>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高埔镇</w:t>
            </w:r>
          </w:p>
        </w:tc>
        <w:tc>
          <w:tcPr>
            <w:tcW w:w="269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栅仔经济联合社</w:t>
            </w:r>
          </w:p>
        </w:tc>
        <w:tc>
          <w:tcPr>
            <w:tcW w:w="1843" w:type="dxa"/>
            <w:tcBorders>
              <w:top w:val="nil"/>
              <w:left w:val="nil"/>
              <w:bottom w:val="single" w:sz="4" w:space="0" w:color="auto"/>
              <w:right w:val="single" w:sz="4" w:space="0" w:color="auto"/>
            </w:tcBorders>
            <w:shd w:val="clear" w:color="auto" w:fill="auto"/>
            <w:noWrap/>
            <w:vAlign w:val="bottom"/>
          </w:tcPr>
          <w:p w:rsidR="002422A3" w:rsidRDefault="005E279B">
            <w:pPr>
              <w:widowControl/>
              <w:jc w:val="center"/>
              <w:rPr>
                <w:rFonts w:eastAsia="仿宋"/>
                <w:kern w:val="0"/>
                <w:szCs w:val="21"/>
              </w:rPr>
            </w:pPr>
            <w:r>
              <w:rPr>
                <w:rFonts w:eastAsia="仿宋"/>
                <w:kern w:val="0"/>
                <w:szCs w:val="21"/>
              </w:rPr>
              <w:t>0.6849</w:t>
            </w:r>
          </w:p>
        </w:tc>
        <w:tc>
          <w:tcPr>
            <w:tcW w:w="2126"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0.6849</w:t>
            </w:r>
          </w:p>
        </w:tc>
      </w:tr>
      <w:tr w:rsidR="002422A3">
        <w:trPr>
          <w:trHeight w:val="285"/>
        </w:trPr>
        <w:tc>
          <w:tcPr>
            <w:tcW w:w="42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总计</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D81082">
            <w:pPr>
              <w:widowControl/>
              <w:jc w:val="center"/>
              <w:rPr>
                <w:rFonts w:eastAsia="仿宋"/>
                <w:kern w:val="0"/>
                <w:szCs w:val="21"/>
              </w:rPr>
            </w:pPr>
            <w:r>
              <w:rPr>
                <w:rFonts w:eastAsia="仿宋"/>
                <w:kern w:val="0"/>
                <w:szCs w:val="21"/>
              </w:rPr>
              <w:t>87.8222</w:t>
            </w:r>
          </w:p>
        </w:tc>
        <w:tc>
          <w:tcPr>
            <w:tcW w:w="2126" w:type="dxa"/>
            <w:tcBorders>
              <w:top w:val="nil"/>
              <w:left w:val="nil"/>
              <w:bottom w:val="single" w:sz="4" w:space="0" w:color="auto"/>
              <w:right w:val="single" w:sz="4" w:space="0" w:color="auto"/>
            </w:tcBorders>
            <w:shd w:val="clear" w:color="auto" w:fill="auto"/>
            <w:noWrap/>
            <w:vAlign w:val="center"/>
          </w:tcPr>
          <w:p w:rsidR="002422A3" w:rsidRDefault="00D81082">
            <w:pPr>
              <w:widowControl/>
              <w:jc w:val="center"/>
              <w:rPr>
                <w:rFonts w:eastAsia="仿宋"/>
                <w:kern w:val="0"/>
                <w:szCs w:val="21"/>
              </w:rPr>
            </w:pPr>
            <w:r>
              <w:rPr>
                <w:rFonts w:eastAsia="仿宋"/>
                <w:kern w:val="0"/>
                <w:szCs w:val="21"/>
              </w:rPr>
              <w:t>87.8222</w:t>
            </w:r>
          </w:p>
        </w:tc>
      </w:tr>
    </w:tbl>
    <w:p w:rsidR="002422A3" w:rsidRDefault="002422A3">
      <w:pPr>
        <w:rPr>
          <w:rFonts w:eastAsia="仿宋"/>
          <w:b/>
          <w:sz w:val="24"/>
        </w:rPr>
      </w:pP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lastRenderedPageBreak/>
        <w:t>成片开发条件分析</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（一）必要性分析</w:t>
      </w:r>
    </w:p>
    <w:p w:rsidR="002422A3" w:rsidRDefault="005E279B">
      <w:pPr>
        <w:spacing w:line="360" w:lineRule="auto"/>
        <w:ind w:firstLineChars="200" w:firstLine="560"/>
        <w:rPr>
          <w:rFonts w:eastAsia="仿宋"/>
          <w:sz w:val="28"/>
          <w:szCs w:val="28"/>
        </w:rPr>
      </w:pPr>
      <w:r>
        <w:rPr>
          <w:rFonts w:eastAsia="仿宋"/>
          <w:sz w:val="28"/>
          <w:szCs w:val="28"/>
        </w:rPr>
        <w:t>《普宁市国民经济和社会发展第十四个五年规划和二〇三五年远景目标纲要》中提出，提升城市功能品质，抓好城市综合体，高品质宜居项目建设，提高城市建设的品位和内涵。</w:t>
      </w:r>
    </w:p>
    <w:p w:rsidR="002422A3" w:rsidRDefault="005E279B">
      <w:pPr>
        <w:spacing w:line="360" w:lineRule="auto"/>
        <w:ind w:firstLineChars="200" w:firstLine="560"/>
        <w:rPr>
          <w:rFonts w:eastAsia="仿宋"/>
          <w:sz w:val="28"/>
          <w:szCs w:val="28"/>
        </w:rPr>
      </w:pPr>
      <w:r>
        <w:rPr>
          <w:rFonts w:eastAsia="仿宋"/>
          <w:sz w:val="28"/>
          <w:szCs w:val="28"/>
        </w:rPr>
        <w:t>本次土地征收成片开发方案拟在东部创新城片区、云落镇西部生态优化片区建设相关产业项目，将与周边土地利用充分衔接，用于建设产业园区，提升城市价值，提高城市建设的品位和内涵。</w:t>
      </w:r>
    </w:p>
    <w:p w:rsidR="002422A3" w:rsidRDefault="005E279B">
      <w:pPr>
        <w:spacing w:line="360" w:lineRule="auto"/>
        <w:ind w:firstLineChars="200" w:firstLine="560"/>
        <w:rPr>
          <w:rFonts w:eastAsia="仿宋"/>
          <w:sz w:val="30"/>
          <w:szCs w:val="30"/>
        </w:rPr>
      </w:pPr>
      <w:r>
        <w:rPr>
          <w:rFonts w:eastAsia="仿宋"/>
          <w:sz w:val="28"/>
          <w:szCs w:val="28"/>
        </w:rPr>
        <w:t>此外，土地征收成片开发方案的编制是对现行土地利用总体规划、城镇体系规划以及国土空间规划的严格落实，有利于强化现行土地利用总体规划、城镇体系规划以及</w:t>
      </w:r>
      <w:r>
        <w:rPr>
          <w:rFonts w:eastAsia="仿宋"/>
          <w:sz w:val="28"/>
          <w:szCs w:val="28"/>
        </w:rPr>
        <w:t>国土空间规划的用途管控、拓展优化城市发展空间、提升城市品质内涵、增强城市承载力和吸引力</w:t>
      </w:r>
      <w:r>
        <w:rPr>
          <w:rFonts w:eastAsia="仿宋"/>
          <w:sz w:val="30"/>
          <w:szCs w:val="30"/>
        </w:rPr>
        <w:t>。</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（二）合规性分析</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普宁市不存在大量批而未供或者闲置土地，土地利用效率较高。本次成片开发所涉及的项目已纳入国民经济和社会发展年度计划和国土空间规划确定的城镇开发边界集中建设区内，片区公益性用地比例不低于</w:t>
      </w:r>
      <w:r>
        <w:rPr>
          <w:rStyle w:val="fontstyle01"/>
          <w:rFonts w:ascii="Times New Roman" w:eastAsia="仿宋"/>
          <w:color w:val="auto"/>
          <w:sz w:val="28"/>
          <w:szCs w:val="28"/>
        </w:rPr>
        <w:t>40.00%</w:t>
      </w:r>
      <w:r>
        <w:rPr>
          <w:rStyle w:val="fontstyle01"/>
          <w:rFonts w:ascii="Times New Roman" w:eastAsia="仿宋"/>
          <w:color w:val="auto"/>
          <w:sz w:val="28"/>
          <w:szCs w:val="28"/>
        </w:rPr>
        <w:t>，不涉及占用永久基本农田和生态保护红线，符合土地征收成片开发标准。</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本次土地征收成片开发方案符合国民经济和社会发展规划，成片开发范围内开发地块位于普宁市土地利用总体规划确定的城乡建设用地范围内或城市、镇总体规划</w:t>
      </w:r>
      <w:r>
        <w:rPr>
          <w:rStyle w:val="fontstyle01"/>
          <w:rFonts w:ascii="Times New Roman" w:eastAsia="仿宋"/>
          <w:color w:val="auto"/>
          <w:sz w:val="28"/>
          <w:szCs w:val="28"/>
        </w:rPr>
        <w:t>、控制性详细规划确定的建设用地范围内，方案与普宁市国土空间规划进行充分衔接，全部位于普宁市城</w:t>
      </w:r>
      <w:r>
        <w:rPr>
          <w:rStyle w:val="fontstyle01"/>
          <w:rFonts w:ascii="Times New Roman" w:eastAsia="仿宋"/>
          <w:color w:val="auto"/>
          <w:sz w:val="28"/>
          <w:szCs w:val="28"/>
        </w:rPr>
        <w:lastRenderedPageBreak/>
        <w:t>镇建设用地范围内。做到了保护耕地、节约集约用地、保护生态环境，能够促进普宁市经济社会可持续发展。</w:t>
      </w: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土地用途与公益性用地情况</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（一）土地用途</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成片开发范围内地块规划用地性质为商业用地、城镇住宅用地、工业用地、公园绿地、城镇道路用地等。</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（二）公益性用地情况</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本次普宁市成片开发区域内包含</w:t>
      </w:r>
      <w:r>
        <w:rPr>
          <w:rStyle w:val="fontstyle01"/>
          <w:rFonts w:ascii="Times New Roman" w:eastAsia="仿宋"/>
          <w:color w:val="auto"/>
          <w:sz w:val="28"/>
          <w:szCs w:val="28"/>
        </w:rPr>
        <w:t>9</w:t>
      </w:r>
      <w:r>
        <w:rPr>
          <w:rStyle w:val="fontstyle01"/>
          <w:rFonts w:ascii="Times New Roman" w:eastAsia="仿宋"/>
          <w:color w:val="auto"/>
          <w:sz w:val="28"/>
          <w:szCs w:val="28"/>
        </w:rPr>
        <w:t>个片区，各个片区范围内基础设施、公共服务设施以及其他公益性用地比例均不低于</w:t>
      </w:r>
      <w:r>
        <w:rPr>
          <w:rStyle w:val="fontstyle01"/>
          <w:rFonts w:ascii="Times New Roman" w:eastAsia="仿宋"/>
          <w:color w:val="auto"/>
          <w:sz w:val="28"/>
          <w:szCs w:val="28"/>
        </w:rPr>
        <w:t>40%</w:t>
      </w:r>
      <w:r>
        <w:rPr>
          <w:rStyle w:val="fontstyle01"/>
          <w:rFonts w:ascii="Times New Roman" w:eastAsia="仿宋"/>
          <w:color w:val="auto"/>
          <w:sz w:val="28"/>
          <w:szCs w:val="28"/>
        </w:rPr>
        <w:t>，满足成片开发要求，具体如下表所示：</w:t>
      </w:r>
    </w:p>
    <w:p w:rsidR="002422A3" w:rsidRDefault="005E279B">
      <w:pPr>
        <w:spacing w:line="360" w:lineRule="auto"/>
        <w:ind w:firstLine="560"/>
        <w:jc w:val="center"/>
        <w:rPr>
          <w:rFonts w:eastAsia="仿宋"/>
          <w:b/>
          <w:sz w:val="24"/>
        </w:rPr>
      </w:pPr>
      <w:r>
        <w:rPr>
          <w:rFonts w:eastAsia="仿宋"/>
          <w:b/>
          <w:sz w:val="24"/>
        </w:rPr>
        <w:t>表</w:t>
      </w:r>
      <w:r>
        <w:rPr>
          <w:rFonts w:eastAsia="仿宋"/>
          <w:b/>
          <w:sz w:val="24"/>
        </w:rPr>
        <w:t>4-1</w:t>
      </w:r>
      <w:r>
        <w:rPr>
          <w:rFonts w:eastAsia="仿宋"/>
          <w:b/>
          <w:sz w:val="24"/>
        </w:rPr>
        <w:t>成片开发范围内规划用地情况表</w:t>
      </w:r>
    </w:p>
    <w:p w:rsidR="002422A3" w:rsidRDefault="005E279B">
      <w:pPr>
        <w:spacing w:line="360" w:lineRule="auto"/>
        <w:ind w:firstLineChars="200" w:firstLine="480"/>
        <w:jc w:val="right"/>
        <w:rPr>
          <w:rFonts w:eastAsia="仿宋"/>
          <w:sz w:val="24"/>
        </w:rPr>
      </w:pPr>
      <w:r>
        <w:rPr>
          <w:rFonts w:eastAsia="仿宋"/>
          <w:sz w:val="24"/>
        </w:rPr>
        <w:t>单位：公顷</w:t>
      </w:r>
    </w:p>
    <w:tbl>
      <w:tblPr>
        <w:tblW w:w="8784" w:type="dxa"/>
        <w:tblInd w:w="113" w:type="dxa"/>
        <w:tblLook w:val="04A0"/>
      </w:tblPr>
      <w:tblGrid>
        <w:gridCol w:w="2122"/>
        <w:gridCol w:w="1275"/>
        <w:gridCol w:w="1843"/>
        <w:gridCol w:w="1418"/>
        <w:gridCol w:w="1004"/>
        <w:gridCol w:w="1134"/>
      </w:tblGrid>
      <w:tr w:rsidR="002422A3">
        <w:trPr>
          <w:trHeight w:val="285"/>
          <w:tblHead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片区名称</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用地类型</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用途</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面积（公顷）</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小计</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b/>
                <w:bCs/>
                <w:kern w:val="0"/>
                <w:szCs w:val="21"/>
              </w:rPr>
            </w:pPr>
            <w:r>
              <w:rPr>
                <w:rFonts w:eastAsia="仿宋"/>
                <w:b/>
                <w:bCs/>
                <w:kern w:val="0"/>
                <w:szCs w:val="21"/>
              </w:rPr>
              <w:t>占比</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东部创新城</w:t>
            </w:r>
            <w:r>
              <w:rPr>
                <w:rFonts w:eastAsia="仿宋"/>
                <w:kern w:val="0"/>
                <w:szCs w:val="21"/>
              </w:rPr>
              <w:t>-01</w:t>
            </w:r>
            <w:r>
              <w:rPr>
                <w:rFonts w:eastAsia="仿宋"/>
                <w:kern w:val="0"/>
                <w:szCs w:val="21"/>
              </w:rPr>
              <w:t>片区</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非公益性用地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城镇住宅用地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2.1176</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30.0845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59.90%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耕地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0.0005</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农村宅基地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0.0003</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21.5566</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物流仓储用地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6.4095</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公益性用地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16.731</w:t>
            </w:r>
            <w:r w:rsidR="00717D5D">
              <w:rPr>
                <w:rFonts w:eastAsia="仿宋" w:hint="eastAsia"/>
                <w:kern w:val="0"/>
                <w:szCs w:val="21"/>
              </w:rPr>
              <w:t>7</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20.136</w:t>
            </w:r>
            <w:r w:rsidR="00717D5D">
              <w:rPr>
                <w:rFonts w:eastAsia="仿宋" w:hint="eastAsia"/>
                <w:kern w:val="0"/>
                <w:szCs w:val="21"/>
              </w:rPr>
              <w:t>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40.10%</w:t>
            </w:r>
          </w:p>
        </w:tc>
      </w:tr>
      <w:tr w:rsidR="002422A3">
        <w:trPr>
          <w:trHeight w:val="28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教育用地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3.405</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50.221</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50.221</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东部创新城</w:t>
            </w:r>
            <w:r>
              <w:rPr>
                <w:rFonts w:eastAsia="仿宋"/>
                <w:kern w:val="0"/>
                <w:szCs w:val="21"/>
              </w:rPr>
              <w:t>-02</w:t>
            </w:r>
            <w:r>
              <w:rPr>
                <w:rFonts w:eastAsia="仿宋"/>
                <w:kern w:val="0"/>
                <w:szCs w:val="21"/>
              </w:rPr>
              <w:t>片区</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非公益性用地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河流水面</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0.1904</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17.5335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58.63%</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耕地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0.0011</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城镇住宅用地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0.0003</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商业服务业用地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17.3417</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公益性用地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9.4906</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12.3709</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41.37%</w:t>
            </w:r>
          </w:p>
        </w:tc>
      </w:tr>
      <w:tr w:rsidR="002422A3">
        <w:trPr>
          <w:trHeight w:val="28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防护绿地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1.8843</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28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公园绿地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0.996</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29.9044</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29.9043</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西部生态优化片</w:t>
            </w:r>
            <w:r>
              <w:rPr>
                <w:rFonts w:eastAsia="仿宋"/>
                <w:kern w:val="0"/>
                <w:szCs w:val="21"/>
              </w:rPr>
              <w:t>-01</w:t>
            </w:r>
            <w:r>
              <w:rPr>
                <w:rFonts w:eastAsia="仿宋"/>
                <w:kern w:val="0"/>
                <w:szCs w:val="21"/>
              </w:rPr>
              <w:t>片区</w:t>
            </w: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1.4455</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1.4455</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公园绿地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0.2704</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0.9636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 xml:space="preserve">　</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0.6932</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2.4091</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2.4091</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西部生态优化片</w:t>
            </w:r>
            <w:r>
              <w:rPr>
                <w:rFonts w:eastAsia="仿宋"/>
                <w:kern w:val="0"/>
                <w:szCs w:val="21"/>
              </w:rPr>
              <w:t>-02</w:t>
            </w:r>
            <w:r>
              <w:rPr>
                <w:rFonts w:eastAsia="仿宋"/>
                <w:kern w:val="0"/>
                <w:szCs w:val="21"/>
              </w:rPr>
              <w:t>片区</w:t>
            </w: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0.6849</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0.6849</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0.4567</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right"/>
              <w:rPr>
                <w:rFonts w:eastAsia="仿宋"/>
                <w:kern w:val="0"/>
                <w:szCs w:val="21"/>
              </w:rPr>
            </w:pPr>
            <w:r>
              <w:rPr>
                <w:rFonts w:eastAsia="仿宋"/>
                <w:kern w:val="0"/>
                <w:szCs w:val="21"/>
              </w:rPr>
              <w:t>0.4567</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1.1416</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1.1416</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占陇镇园联动区</w:t>
            </w:r>
            <w:r>
              <w:rPr>
                <w:rFonts w:eastAsia="仿宋"/>
                <w:kern w:val="0"/>
                <w:szCs w:val="21"/>
              </w:rPr>
              <w:t>-01</w:t>
            </w:r>
            <w:r>
              <w:rPr>
                <w:rFonts w:eastAsia="仿宋"/>
                <w:kern w:val="0"/>
                <w:szCs w:val="21"/>
              </w:rPr>
              <w:t>片区</w:t>
            </w: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0.6202</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0.6202</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0.4134</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0.4134</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1.0336</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1.0336</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占陇镇园联动区</w:t>
            </w:r>
            <w:r>
              <w:rPr>
                <w:rFonts w:eastAsia="仿宋"/>
                <w:kern w:val="0"/>
                <w:szCs w:val="21"/>
              </w:rPr>
              <w:t>-02</w:t>
            </w:r>
            <w:r>
              <w:rPr>
                <w:rFonts w:eastAsia="仿宋"/>
                <w:kern w:val="0"/>
                <w:szCs w:val="21"/>
              </w:rPr>
              <w:t>片区</w:t>
            </w: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0.5133</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0.5133</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0.3422</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0.3422</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0.8555</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0.8555</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普宁产业转移工业园</w:t>
            </w:r>
            <w:r>
              <w:rPr>
                <w:rFonts w:eastAsia="仿宋"/>
                <w:kern w:val="0"/>
                <w:szCs w:val="21"/>
              </w:rPr>
              <w:t>-01</w:t>
            </w:r>
            <w:r>
              <w:rPr>
                <w:rFonts w:eastAsia="仿宋"/>
                <w:kern w:val="0"/>
                <w:szCs w:val="21"/>
              </w:rPr>
              <w:t>片区</w:t>
            </w: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hint="eastAsia"/>
                <w:kern w:val="0"/>
                <w:szCs w:val="21"/>
              </w:rPr>
              <w:t>3.5</w:t>
            </w:r>
            <w:r w:rsidR="00E56D33">
              <w:rPr>
                <w:rFonts w:eastAsia="仿宋" w:hint="eastAsia"/>
                <w:kern w:val="0"/>
                <w:szCs w:val="21"/>
              </w:rPr>
              <w:t>333</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3.</w:t>
            </w:r>
            <w:r>
              <w:rPr>
                <w:rFonts w:eastAsia="仿宋" w:hint="eastAsia"/>
                <w:kern w:val="0"/>
                <w:szCs w:val="21"/>
              </w:rPr>
              <w:t>5445</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w:t>
            </w:r>
            <w:r>
              <w:rPr>
                <w:rFonts w:eastAsia="仿宋" w:hint="eastAsia"/>
                <w:kern w:val="0"/>
                <w:szCs w:val="21"/>
              </w:rPr>
              <w:t>5039</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2.</w:t>
            </w:r>
            <w:r>
              <w:rPr>
                <w:rFonts w:eastAsia="仿宋" w:hint="eastAsia"/>
                <w:kern w:val="0"/>
                <w:szCs w:val="21"/>
              </w:rPr>
              <w:t>3631</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公园绿地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hint="eastAsia"/>
                <w:kern w:val="0"/>
                <w:szCs w:val="21"/>
              </w:rPr>
              <w:t>0.85</w:t>
            </w:r>
            <w:r w:rsidR="00E56D33">
              <w:rPr>
                <w:rFonts w:eastAsia="仿宋" w:hint="eastAsia"/>
                <w:kern w:val="0"/>
                <w:szCs w:val="21"/>
              </w:rPr>
              <w:t>16</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D81082">
            <w:pPr>
              <w:widowControl/>
              <w:jc w:val="center"/>
              <w:rPr>
                <w:rFonts w:eastAsia="仿宋"/>
                <w:kern w:val="0"/>
                <w:szCs w:val="21"/>
              </w:rPr>
            </w:pPr>
            <w:r>
              <w:rPr>
                <w:rFonts w:eastAsia="仿宋" w:hint="eastAsia"/>
                <w:kern w:val="0"/>
                <w:szCs w:val="21"/>
              </w:rPr>
              <w:t>5.8888</w:t>
            </w:r>
          </w:p>
        </w:tc>
        <w:tc>
          <w:tcPr>
            <w:tcW w:w="992" w:type="dxa"/>
            <w:tcBorders>
              <w:top w:val="nil"/>
              <w:left w:val="nil"/>
              <w:bottom w:val="single" w:sz="4" w:space="0" w:color="auto"/>
              <w:right w:val="single" w:sz="4" w:space="0" w:color="auto"/>
            </w:tcBorders>
            <w:shd w:val="clear" w:color="auto" w:fill="auto"/>
            <w:noWrap/>
            <w:vAlign w:val="center"/>
          </w:tcPr>
          <w:p w:rsidR="002422A3" w:rsidRDefault="00D81082">
            <w:pPr>
              <w:widowControl/>
              <w:jc w:val="center"/>
              <w:rPr>
                <w:rFonts w:eastAsia="仿宋"/>
                <w:kern w:val="0"/>
                <w:szCs w:val="21"/>
              </w:rPr>
            </w:pPr>
            <w:r>
              <w:rPr>
                <w:rFonts w:eastAsia="仿宋" w:hint="eastAsia"/>
                <w:kern w:val="0"/>
                <w:szCs w:val="21"/>
              </w:rPr>
              <w:t>5.8888</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普宁产业转移工业园</w:t>
            </w:r>
            <w:r>
              <w:rPr>
                <w:rFonts w:eastAsia="仿宋"/>
                <w:kern w:val="0"/>
                <w:szCs w:val="21"/>
              </w:rPr>
              <w:t>-02</w:t>
            </w:r>
            <w:r>
              <w:rPr>
                <w:rFonts w:eastAsia="仿宋"/>
                <w:kern w:val="0"/>
                <w:szCs w:val="21"/>
              </w:rPr>
              <w:t>片区</w:t>
            </w: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7.4931</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7.4931</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58.09%</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4.9955</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5.4071</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41.91%</w:t>
            </w:r>
          </w:p>
        </w:tc>
      </w:tr>
      <w:tr w:rsidR="002422A3">
        <w:trPr>
          <w:trHeight w:val="28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公园绿地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0.4116</w:t>
            </w:r>
          </w:p>
        </w:tc>
        <w:tc>
          <w:tcPr>
            <w:tcW w:w="99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134"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12.9002</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12.9002</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2122"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jc w:val="left"/>
              <w:rPr>
                <w:rFonts w:eastAsia="仿宋"/>
                <w:kern w:val="0"/>
                <w:szCs w:val="21"/>
              </w:rPr>
            </w:pPr>
            <w:r>
              <w:rPr>
                <w:rFonts w:eastAsia="仿宋"/>
                <w:kern w:val="0"/>
                <w:szCs w:val="21"/>
              </w:rPr>
              <w:t>东部城乡融合片区</w:t>
            </w: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非公益用地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工业用地</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0.4937</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0.4937</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60.00%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1275"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公益用地</w:t>
            </w:r>
          </w:p>
        </w:tc>
        <w:tc>
          <w:tcPr>
            <w:tcW w:w="1843"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城镇道路</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0.3292</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0.3292</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40.00%</w:t>
            </w:r>
          </w:p>
        </w:tc>
      </w:tr>
      <w:tr w:rsidR="002422A3">
        <w:trPr>
          <w:trHeight w:val="315"/>
        </w:trPr>
        <w:tc>
          <w:tcPr>
            <w:tcW w:w="2122" w:type="dxa"/>
            <w:vMerge/>
            <w:tcBorders>
              <w:top w:val="nil"/>
              <w:left w:val="single" w:sz="4" w:space="0" w:color="auto"/>
              <w:bottom w:val="single" w:sz="4" w:space="0" w:color="auto"/>
              <w:right w:val="single" w:sz="4" w:space="0" w:color="auto"/>
            </w:tcBorders>
            <w:vAlign w:val="center"/>
          </w:tcPr>
          <w:p w:rsidR="002422A3" w:rsidRDefault="002422A3">
            <w:pPr>
              <w:widowControl/>
              <w:jc w:val="left"/>
              <w:rPr>
                <w:rFonts w:eastAsia="仿宋"/>
                <w:kern w:val="0"/>
                <w:szCs w:val="21"/>
              </w:rPr>
            </w:pP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0.8229</w:t>
            </w:r>
          </w:p>
        </w:tc>
        <w:tc>
          <w:tcPr>
            <w:tcW w:w="992"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0.8229</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r w:rsidR="002422A3">
        <w:trPr>
          <w:trHeight w:val="315"/>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总计</w:t>
            </w:r>
          </w:p>
        </w:tc>
        <w:tc>
          <w:tcPr>
            <w:tcW w:w="1418" w:type="dxa"/>
            <w:tcBorders>
              <w:top w:val="nil"/>
              <w:left w:val="nil"/>
              <w:bottom w:val="single" w:sz="4" w:space="0" w:color="auto"/>
              <w:right w:val="single" w:sz="4" w:space="0" w:color="auto"/>
            </w:tcBorders>
            <w:shd w:val="clear" w:color="auto" w:fill="auto"/>
            <w:noWrap/>
            <w:vAlign w:val="center"/>
          </w:tcPr>
          <w:p w:rsidR="002422A3" w:rsidRDefault="00D81082">
            <w:pPr>
              <w:widowControl/>
              <w:jc w:val="center"/>
              <w:rPr>
                <w:rFonts w:eastAsia="仿宋"/>
                <w:kern w:val="0"/>
                <w:szCs w:val="21"/>
              </w:rPr>
            </w:pPr>
            <w:r>
              <w:rPr>
                <w:rFonts w:eastAsia="仿宋"/>
                <w:szCs w:val="21"/>
              </w:rPr>
              <w:t>105.1773</w:t>
            </w:r>
          </w:p>
        </w:tc>
        <w:tc>
          <w:tcPr>
            <w:tcW w:w="992" w:type="dxa"/>
            <w:tcBorders>
              <w:top w:val="nil"/>
              <w:left w:val="nil"/>
              <w:bottom w:val="single" w:sz="4" w:space="0" w:color="auto"/>
              <w:right w:val="single" w:sz="4" w:space="0" w:color="auto"/>
            </w:tcBorders>
            <w:shd w:val="clear" w:color="auto" w:fill="auto"/>
            <w:noWrap/>
            <w:vAlign w:val="center"/>
          </w:tcPr>
          <w:p w:rsidR="002422A3" w:rsidRDefault="00D81082">
            <w:pPr>
              <w:widowControl/>
              <w:jc w:val="center"/>
              <w:rPr>
                <w:rFonts w:eastAsia="仿宋"/>
                <w:kern w:val="0"/>
                <w:szCs w:val="21"/>
              </w:rPr>
            </w:pPr>
            <w:r>
              <w:rPr>
                <w:rFonts w:eastAsia="仿宋"/>
                <w:szCs w:val="21"/>
              </w:rPr>
              <w:t>105.1773</w:t>
            </w:r>
          </w:p>
        </w:tc>
        <w:tc>
          <w:tcPr>
            <w:tcW w:w="1134" w:type="dxa"/>
            <w:tcBorders>
              <w:top w:val="nil"/>
              <w:left w:val="nil"/>
              <w:bottom w:val="single" w:sz="4" w:space="0" w:color="auto"/>
              <w:right w:val="single" w:sz="4" w:space="0" w:color="auto"/>
            </w:tcBorders>
            <w:shd w:val="clear" w:color="auto" w:fill="auto"/>
            <w:noWrap/>
            <w:vAlign w:val="center"/>
          </w:tcPr>
          <w:p w:rsidR="002422A3" w:rsidRDefault="005E279B">
            <w:pPr>
              <w:widowControl/>
              <w:jc w:val="center"/>
              <w:rPr>
                <w:rFonts w:eastAsia="仿宋"/>
                <w:kern w:val="0"/>
                <w:szCs w:val="21"/>
              </w:rPr>
            </w:pPr>
            <w:r>
              <w:rPr>
                <w:rFonts w:eastAsia="仿宋"/>
                <w:kern w:val="0"/>
                <w:szCs w:val="21"/>
              </w:rPr>
              <w:t>100.00%</w:t>
            </w:r>
          </w:p>
        </w:tc>
      </w:tr>
    </w:tbl>
    <w:p w:rsidR="002422A3" w:rsidRDefault="002422A3">
      <w:pPr>
        <w:rPr>
          <w:rFonts w:eastAsia="仿宋"/>
        </w:rPr>
      </w:pP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实施计划</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本方案拟建的项目用地开发时序为</w:t>
      </w:r>
      <w:r>
        <w:rPr>
          <w:rStyle w:val="fontstyle01"/>
          <w:rFonts w:ascii="Times New Roman" w:eastAsia="仿宋"/>
          <w:color w:val="auto"/>
          <w:sz w:val="28"/>
          <w:szCs w:val="28"/>
        </w:rPr>
        <w:t>3</w:t>
      </w:r>
      <w:r>
        <w:rPr>
          <w:rStyle w:val="fontstyle01"/>
          <w:rFonts w:ascii="Times New Roman" w:eastAsia="仿宋"/>
          <w:color w:val="auto"/>
          <w:sz w:val="28"/>
          <w:szCs w:val="28"/>
        </w:rPr>
        <w:t>年（即</w:t>
      </w:r>
      <w:r>
        <w:rPr>
          <w:rStyle w:val="fontstyle01"/>
          <w:rFonts w:ascii="Times New Roman" w:eastAsia="仿宋"/>
          <w:color w:val="auto"/>
          <w:sz w:val="28"/>
          <w:szCs w:val="28"/>
        </w:rPr>
        <w:t>2024</w:t>
      </w:r>
      <w:r>
        <w:rPr>
          <w:rStyle w:val="fontstyle01"/>
          <w:rFonts w:ascii="Times New Roman" w:eastAsia="仿宋"/>
          <w:color w:val="auto"/>
          <w:sz w:val="28"/>
          <w:szCs w:val="28"/>
        </w:rPr>
        <w:t>年至</w:t>
      </w:r>
      <w:r>
        <w:rPr>
          <w:rStyle w:val="fontstyle01"/>
          <w:rFonts w:ascii="Times New Roman" w:eastAsia="仿宋"/>
          <w:color w:val="auto"/>
          <w:sz w:val="28"/>
          <w:szCs w:val="28"/>
        </w:rPr>
        <w:t>2027</w:t>
      </w:r>
      <w:r>
        <w:rPr>
          <w:rStyle w:val="fontstyle01"/>
          <w:rFonts w:ascii="Times New Roman" w:eastAsia="仿宋"/>
          <w:color w:val="auto"/>
          <w:sz w:val="28"/>
          <w:szCs w:val="28"/>
        </w:rPr>
        <w:t>年），项目拟征地总面积共计</w:t>
      </w:r>
      <w:r w:rsidR="00D81082">
        <w:rPr>
          <w:rStyle w:val="fontstyle01"/>
          <w:rFonts w:ascii="Times New Roman" w:eastAsia="仿宋"/>
          <w:color w:val="auto"/>
          <w:sz w:val="28"/>
          <w:szCs w:val="28"/>
        </w:rPr>
        <w:t>87.8222</w:t>
      </w:r>
      <w:r>
        <w:rPr>
          <w:rStyle w:val="fontstyle01"/>
          <w:rFonts w:ascii="Times New Roman" w:eastAsia="仿宋"/>
          <w:color w:val="auto"/>
          <w:sz w:val="28"/>
          <w:szCs w:val="28"/>
        </w:rPr>
        <w:t>公顷，具体实施时序详见下表。</w:t>
      </w:r>
    </w:p>
    <w:p w:rsidR="002422A3" w:rsidRDefault="005E279B">
      <w:pPr>
        <w:spacing w:line="360" w:lineRule="auto"/>
        <w:ind w:firstLineChars="200" w:firstLine="482"/>
        <w:jc w:val="center"/>
        <w:rPr>
          <w:rFonts w:eastAsia="仿宋"/>
          <w:b/>
          <w:sz w:val="24"/>
        </w:rPr>
      </w:pPr>
      <w:r>
        <w:rPr>
          <w:rFonts w:eastAsia="仿宋"/>
          <w:b/>
          <w:sz w:val="24"/>
        </w:rPr>
        <w:t>5-1</w:t>
      </w:r>
      <w:r>
        <w:rPr>
          <w:rFonts w:eastAsia="仿宋"/>
          <w:b/>
          <w:sz w:val="24"/>
        </w:rPr>
        <w:t>成片开发项目实施计划一览表</w:t>
      </w:r>
    </w:p>
    <w:p w:rsidR="002422A3" w:rsidRDefault="005E279B">
      <w:pPr>
        <w:pStyle w:val="1"/>
        <w:adjustRightInd w:val="0"/>
        <w:snapToGrid w:val="0"/>
        <w:spacing w:before="0" w:after="0" w:line="240" w:lineRule="auto"/>
        <w:jc w:val="right"/>
        <w:rPr>
          <w:rFonts w:eastAsia="仿宋"/>
        </w:rPr>
      </w:pPr>
      <w:r>
        <w:rPr>
          <w:rFonts w:eastAsia="仿宋"/>
          <w:sz w:val="24"/>
        </w:rPr>
        <w:t>单位：公顷</w:t>
      </w:r>
    </w:p>
    <w:tbl>
      <w:tblPr>
        <w:tblpPr w:leftFromText="180" w:rightFromText="180" w:vertAnchor="text" w:horzAnchor="page" w:tblpXSpec="center" w:tblpY="325"/>
        <w:tblOverlap w:val="never"/>
        <w:tblW w:w="4933" w:type="pct"/>
        <w:jc w:val="center"/>
        <w:tblLayout w:type="fixed"/>
        <w:tblLook w:val="04A0"/>
      </w:tblPr>
      <w:tblGrid>
        <w:gridCol w:w="519"/>
        <w:gridCol w:w="2083"/>
        <w:gridCol w:w="2669"/>
        <w:gridCol w:w="1238"/>
        <w:gridCol w:w="1120"/>
        <w:gridCol w:w="779"/>
      </w:tblGrid>
      <w:tr w:rsidR="002422A3">
        <w:trPr>
          <w:cantSplit/>
          <w:trHeight w:val="290"/>
          <w:tblHeader/>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textAlignment w:val="center"/>
              <w:rPr>
                <w:rFonts w:eastAsia="仿宋"/>
                <w:b/>
                <w:bCs/>
                <w:szCs w:val="21"/>
              </w:rPr>
            </w:pPr>
            <w:r>
              <w:rPr>
                <w:rFonts w:eastAsia="仿宋"/>
                <w:b/>
                <w:bCs/>
                <w:kern w:val="0"/>
                <w:szCs w:val="21"/>
              </w:rPr>
              <w:t>序号</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成片开发范围名称</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拟安排项目名称</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拟征地面积（公顷）</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计划完成土地征收时间</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b/>
                <w:bCs/>
                <w:szCs w:val="21"/>
              </w:rPr>
            </w:pPr>
            <w:r>
              <w:rPr>
                <w:rFonts w:eastAsia="仿宋"/>
                <w:b/>
                <w:bCs/>
                <w:kern w:val="0"/>
                <w:szCs w:val="21"/>
              </w:rPr>
              <w:t>开发时序</w:t>
            </w:r>
          </w:p>
        </w:tc>
      </w:tr>
      <w:tr w:rsidR="002422A3">
        <w:trPr>
          <w:cantSplit/>
          <w:trHeight w:val="633"/>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1</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东部创新城</w:t>
            </w:r>
            <w:r>
              <w:rPr>
                <w:rFonts w:eastAsia="仿宋"/>
                <w:szCs w:val="21"/>
              </w:rPr>
              <w:t>-01</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东部创新城产业用地地块</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42.3304</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2</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szCs w:val="21"/>
              </w:rPr>
            </w:pPr>
            <w:r>
              <w:rPr>
                <w:rFonts w:eastAsia="仿宋"/>
                <w:szCs w:val="21"/>
              </w:rPr>
              <w:t>东部创新城</w:t>
            </w:r>
            <w:r>
              <w:rPr>
                <w:rFonts w:eastAsia="仿宋"/>
                <w:szCs w:val="21"/>
              </w:rPr>
              <w:t>-02</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东部创新城研发总部地块</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szCs w:val="21"/>
              </w:rPr>
              <w:t>26.2597</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3</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kern w:val="0"/>
                <w:szCs w:val="21"/>
              </w:rPr>
            </w:pPr>
            <w:r>
              <w:rPr>
                <w:rFonts w:eastAsia="仿宋"/>
                <w:szCs w:val="21"/>
              </w:rPr>
              <w:t>西部生态优化片</w:t>
            </w:r>
            <w:r>
              <w:rPr>
                <w:rFonts w:eastAsia="仿宋"/>
                <w:szCs w:val="21"/>
              </w:rPr>
              <w:t>-01</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居住地块</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1.4455</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4</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kern w:val="0"/>
                <w:szCs w:val="21"/>
              </w:rPr>
            </w:pPr>
            <w:r>
              <w:rPr>
                <w:rFonts w:eastAsia="仿宋"/>
                <w:szCs w:val="21"/>
              </w:rPr>
              <w:t>西部生态优化片</w:t>
            </w:r>
            <w:r>
              <w:rPr>
                <w:rFonts w:eastAsia="仿宋"/>
                <w:szCs w:val="21"/>
              </w:rPr>
              <w:t>-02</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高埔镇屠宰场</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0.6849</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lastRenderedPageBreak/>
              <w:t>5</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kern w:val="0"/>
                <w:szCs w:val="21"/>
              </w:rPr>
            </w:pPr>
            <w:r>
              <w:rPr>
                <w:rFonts w:eastAsia="仿宋"/>
                <w:szCs w:val="21"/>
              </w:rPr>
              <w:t>占陇镇园联动区</w:t>
            </w:r>
            <w:r>
              <w:rPr>
                <w:rFonts w:eastAsia="仿宋"/>
                <w:szCs w:val="21"/>
              </w:rPr>
              <w:t>-01</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占陇镇屠宰场</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1.0336</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6</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kern w:val="0"/>
                <w:szCs w:val="21"/>
              </w:rPr>
            </w:pPr>
            <w:r>
              <w:rPr>
                <w:rFonts w:eastAsia="仿宋"/>
                <w:szCs w:val="21"/>
              </w:rPr>
              <w:t>占陇镇园联动区</w:t>
            </w:r>
            <w:r>
              <w:rPr>
                <w:rFonts w:eastAsia="仿宋"/>
                <w:szCs w:val="21"/>
              </w:rPr>
              <w:t>-02</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下架山镇屠宰场</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0.8555</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7</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kern w:val="0"/>
                <w:szCs w:val="21"/>
              </w:rPr>
            </w:pPr>
            <w:r>
              <w:rPr>
                <w:rFonts w:eastAsia="仿宋"/>
                <w:szCs w:val="21"/>
              </w:rPr>
              <w:t>普宁产业转移工业园</w:t>
            </w:r>
            <w:r>
              <w:rPr>
                <w:rFonts w:eastAsia="仿宋"/>
                <w:szCs w:val="21"/>
              </w:rPr>
              <w:t>-01</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大坝镇屠宰场</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D81082">
            <w:pPr>
              <w:widowControl/>
              <w:adjustRightInd w:val="0"/>
              <w:snapToGrid w:val="0"/>
              <w:jc w:val="center"/>
              <w:textAlignment w:val="center"/>
              <w:rPr>
                <w:rFonts w:eastAsia="仿宋"/>
                <w:kern w:val="0"/>
                <w:szCs w:val="21"/>
              </w:rPr>
            </w:pPr>
            <w:r>
              <w:rPr>
                <w:rFonts w:eastAsia="仿宋" w:hint="eastAsia"/>
                <w:szCs w:val="21"/>
              </w:rPr>
              <w:t>5.8888</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8</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kern w:val="0"/>
                <w:szCs w:val="21"/>
              </w:rPr>
            </w:pPr>
            <w:r>
              <w:rPr>
                <w:rFonts w:eastAsia="仿宋"/>
                <w:szCs w:val="21"/>
              </w:rPr>
              <w:t>普宁产业转移工业园</w:t>
            </w:r>
            <w:r>
              <w:rPr>
                <w:rFonts w:eastAsia="仿宋"/>
                <w:szCs w:val="21"/>
              </w:rPr>
              <w:t>-02</w:t>
            </w:r>
            <w:r>
              <w:rPr>
                <w:rFonts w:eastAsia="仿宋"/>
                <w:szCs w:val="21"/>
              </w:rPr>
              <w:t>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保税区地块</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8.5009</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2027</w:t>
            </w:r>
          </w:p>
        </w:tc>
      </w:tr>
      <w:tr w:rsidR="002422A3">
        <w:trPr>
          <w:cantSplit/>
          <w:trHeight w:val="348"/>
          <w:jc w:val="center"/>
        </w:trPr>
        <w:tc>
          <w:tcPr>
            <w:tcW w:w="3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9</w:t>
            </w:r>
          </w:p>
        </w:tc>
        <w:tc>
          <w:tcPr>
            <w:tcW w:w="1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adjustRightInd w:val="0"/>
              <w:snapToGrid w:val="0"/>
              <w:jc w:val="center"/>
              <w:rPr>
                <w:rFonts w:eastAsia="仿宋"/>
                <w:kern w:val="0"/>
                <w:szCs w:val="21"/>
              </w:rPr>
            </w:pPr>
            <w:r>
              <w:rPr>
                <w:rFonts w:eastAsia="仿宋"/>
                <w:szCs w:val="21"/>
              </w:rPr>
              <w:t>东部城乡融合片区</w:t>
            </w:r>
          </w:p>
        </w:tc>
        <w:tc>
          <w:tcPr>
            <w:tcW w:w="15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南径镇屠宰场</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szCs w:val="21"/>
              </w:rPr>
              <w:t>0.8229</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2025</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kern w:val="0"/>
                <w:szCs w:val="21"/>
              </w:rPr>
            </w:pPr>
            <w:r>
              <w:rPr>
                <w:rFonts w:eastAsia="仿宋"/>
                <w:kern w:val="0"/>
                <w:szCs w:val="21"/>
              </w:rPr>
              <w:t>2027</w:t>
            </w:r>
          </w:p>
        </w:tc>
      </w:tr>
      <w:tr w:rsidR="002422A3">
        <w:trPr>
          <w:cantSplit/>
          <w:trHeight w:val="290"/>
          <w:jc w:val="center"/>
        </w:trPr>
        <w:tc>
          <w:tcPr>
            <w:tcW w:w="313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合计</w:t>
            </w:r>
          </w:p>
        </w:tc>
        <w:tc>
          <w:tcPr>
            <w:tcW w:w="7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D81082">
            <w:pPr>
              <w:widowControl/>
              <w:adjustRightInd w:val="0"/>
              <w:snapToGrid w:val="0"/>
              <w:jc w:val="center"/>
              <w:textAlignment w:val="center"/>
              <w:rPr>
                <w:rFonts w:eastAsia="仿宋"/>
                <w:szCs w:val="21"/>
              </w:rPr>
            </w:pPr>
            <w:r>
              <w:rPr>
                <w:rFonts w:eastAsia="仿宋"/>
                <w:kern w:val="0"/>
                <w:szCs w:val="21"/>
              </w:rPr>
              <w:t>87.8222</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w:t>
            </w: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422A3" w:rsidRDefault="005E279B">
            <w:pPr>
              <w:widowControl/>
              <w:adjustRightInd w:val="0"/>
              <w:snapToGrid w:val="0"/>
              <w:jc w:val="center"/>
              <w:textAlignment w:val="center"/>
              <w:rPr>
                <w:rFonts w:eastAsia="仿宋"/>
                <w:szCs w:val="21"/>
              </w:rPr>
            </w:pPr>
            <w:r>
              <w:rPr>
                <w:rFonts w:eastAsia="仿宋"/>
                <w:kern w:val="0"/>
                <w:szCs w:val="21"/>
              </w:rPr>
              <w:t>——</w:t>
            </w:r>
          </w:p>
        </w:tc>
      </w:tr>
    </w:tbl>
    <w:p w:rsidR="002422A3" w:rsidRDefault="002422A3">
      <w:pPr>
        <w:adjustRightInd w:val="0"/>
        <w:snapToGrid w:val="0"/>
        <w:jc w:val="right"/>
        <w:rPr>
          <w:rFonts w:eastAsia="仿宋"/>
        </w:rPr>
      </w:pP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效益评估</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（一）土地利用效益评估</w:t>
      </w:r>
    </w:p>
    <w:p w:rsidR="002422A3" w:rsidRDefault="005E279B">
      <w:pPr>
        <w:spacing w:line="360" w:lineRule="auto"/>
        <w:ind w:firstLineChars="200" w:firstLine="560"/>
        <w:rPr>
          <w:rStyle w:val="fontstyle01"/>
          <w:rFonts w:ascii="Times New Roman" w:eastAsia="仿宋"/>
          <w:color w:val="auto"/>
          <w:sz w:val="36"/>
          <w:szCs w:val="36"/>
        </w:rPr>
      </w:pPr>
      <w:r>
        <w:rPr>
          <w:rStyle w:val="fontstyle01"/>
          <w:rFonts w:ascii="Times New Roman" w:eastAsia="仿宋"/>
          <w:color w:val="auto"/>
          <w:sz w:val="28"/>
          <w:szCs w:val="28"/>
        </w:rPr>
        <w:t>本次土地征收成片开发建设可有效推进土地节约集约利用，提高普宁市土地利用效率，避免用地浪费，实现土地资源的合理配置。</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（二）经济效益评估</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本次土地征收成片开发对片区内地块进行统一规划建设，有利于形成有规模的产业园区，形成产业集群与产业链，实现规划引导项目，有利于打造现代产业体系，建设实业普宁。拟建项目包括商业、住宅等，与周边土地利用充分衔接，有利于推动商业、工业产业的发展，有利于构建现代化经济体系，增加政府财政税收。</w:t>
      </w:r>
    </w:p>
    <w:p w:rsidR="002422A3" w:rsidRDefault="005E279B">
      <w:pPr>
        <w:spacing w:line="360" w:lineRule="auto"/>
        <w:rPr>
          <w:rStyle w:val="fontstyle01"/>
          <w:rFonts w:ascii="Times New Roman" w:eastAsia="仿宋"/>
          <w:b/>
          <w:bCs/>
          <w:color w:val="auto"/>
        </w:rPr>
      </w:pPr>
      <w:r>
        <w:rPr>
          <w:rStyle w:val="fontstyle01"/>
          <w:rFonts w:ascii="Times New Roman" w:eastAsia="仿宋"/>
          <w:b/>
          <w:bCs/>
          <w:color w:val="auto"/>
        </w:rPr>
        <w:t>（三）社会效益评估</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本次土地征收成片开发建设，将有利于国土空间规划的执行，完善成片开发范围片区基础设施与公共服务设施建设，增加就业岗位，提高就业率。</w:t>
      </w:r>
    </w:p>
    <w:p w:rsidR="002422A3" w:rsidRDefault="005E279B">
      <w:pPr>
        <w:rPr>
          <w:rStyle w:val="fontstyle01"/>
          <w:rFonts w:ascii="Times New Roman" w:eastAsia="仿宋"/>
          <w:b/>
          <w:bCs/>
          <w:color w:val="auto"/>
        </w:rPr>
      </w:pPr>
      <w:r>
        <w:rPr>
          <w:rStyle w:val="fontstyle01"/>
          <w:rFonts w:ascii="Times New Roman" w:eastAsia="仿宋"/>
          <w:b/>
          <w:bCs/>
          <w:color w:val="auto"/>
        </w:rPr>
        <w:t>（四）生态效益评估</w:t>
      </w:r>
    </w:p>
    <w:p w:rsidR="002422A3" w:rsidRDefault="005E279B">
      <w:pPr>
        <w:spacing w:line="360" w:lineRule="auto"/>
        <w:ind w:firstLineChars="200" w:firstLine="560"/>
        <w:rPr>
          <w:rStyle w:val="fontstyle01"/>
          <w:rFonts w:ascii="Times New Roman" w:eastAsia="仿宋"/>
          <w:color w:val="auto"/>
          <w:sz w:val="28"/>
          <w:szCs w:val="28"/>
        </w:rPr>
      </w:pPr>
      <w:r>
        <w:rPr>
          <w:rStyle w:val="fontstyle01"/>
          <w:rFonts w:ascii="Times New Roman" w:eastAsia="仿宋"/>
          <w:color w:val="auto"/>
          <w:sz w:val="28"/>
          <w:szCs w:val="28"/>
        </w:rPr>
        <w:t>项目成片开发范围不涉及永久基本农田、自然保护地、陆域生态保护红线、水源保护区、湿地等生态底线管控要素，符合生态环境保</w:t>
      </w:r>
      <w:r>
        <w:rPr>
          <w:rStyle w:val="fontstyle01"/>
          <w:rFonts w:ascii="Times New Roman" w:eastAsia="仿宋"/>
          <w:color w:val="auto"/>
          <w:sz w:val="28"/>
          <w:szCs w:val="28"/>
        </w:rPr>
        <w:lastRenderedPageBreak/>
        <w:t>护要求。项目在后续的开发建设过程中将采取有效的环境影响保护控制及削减措施，避免对区域大气环境、生态环境、地下水环境、土壤环境产生超出环境容量的影响，减少对区域生态环境品质产生不利影响。</w:t>
      </w: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结论</w:t>
      </w:r>
    </w:p>
    <w:p w:rsidR="002422A3" w:rsidRDefault="005E279B">
      <w:pPr>
        <w:pStyle w:val="a4"/>
        <w:spacing w:before="0" w:line="360" w:lineRule="auto"/>
        <w:ind w:left="0" w:firstLineChars="200" w:firstLine="560"/>
        <w:rPr>
          <w:rStyle w:val="fontstyle01"/>
          <w:rFonts w:ascii="Times New Roman" w:eastAsia="仿宋" w:hAnsi="Times New Roman"/>
          <w:color w:val="auto"/>
          <w:kern w:val="2"/>
          <w:sz w:val="28"/>
          <w:szCs w:val="28"/>
          <w:lang w:eastAsia="zh-CN"/>
        </w:rPr>
      </w:pPr>
      <w:r>
        <w:rPr>
          <w:rStyle w:val="fontstyle01"/>
          <w:rFonts w:ascii="Times New Roman" w:eastAsia="仿宋" w:hAnsi="Times New Roman"/>
          <w:color w:val="auto"/>
          <w:kern w:val="2"/>
          <w:sz w:val="28"/>
          <w:szCs w:val="28"/>
          <w:lang w:eastAsia="zh-CN"/>
        </w:rPr>
        <w:t>综上所述，《揭阳市普宁市</w:t>
      </w:r>
      <w:r>
        <w:rPr>
          <w:rStyle w:val="fontstyle01"/>
          <w:rFonts w:ascii="Times New Roman" w:eastAsia="仿宋" w:hAnsi="Times New Roman"/>
          <w:color w:val="auto"/>
          <w:kern w:val="2"/>
          <w:sz w:val="28"/>
          <w:szCs w:val="28"/>
          <w:lang w:eastAsia="zh-CN"/>
        </w:rPr>
        <w:t>2023</w:t>
      </w:r>
      <w:r>
        <w:rPr>
          <w:rStyle w:val="fontstyle01"/>
          <w:rFonts w:ascii="Times New Roman" w:eastAsia="仿宋" w:hAnsi="Times New Roman"/>
          <w:color w:val="auto"/>
          <w:kern w:val="2"/>
          <w:sz w:val="28"/>
          <w:szCs w:val="28"/>
          <w:lang w:eastAsia="zh-CN"/>
        </w:rPr>
        <w:t>年度土地征收成片开发方案（第二批）》符合《自然资源部关于印发</w:t>
      </w:r>
      <w:r>
        <w:rPr>
          <w:rStyle w:val="fontstyle01"/>
          <w:rFonts w:ascii="Times New Roman" w:eastAsia="仿宋" w:hAnsi="Times New Roman"/>
          <w:color w:val="auto"/>
          <w:kern w:val="2"/>
          <w:sz w:val="28"/>
          <w:szCs w:val="28"/>
          <w:lang w:eastAsia="zh-CN"/>
        </w:rPr>
        <w:t>&lt;</w:t>
      </w:r>
      <w:r>
        <w:rPr>
          <w:rStyle w:val="fontstyle01"/>
          <w:rFonts w:ascii="Times New Roman" w:eastAsia="仿宋" w:hAnsi="Times New Roman"/>
          <w:color w:val="auto"/>
          <w:kern w:val="2"/>
          <w:sz w:val="28"/>
          <w:szCs w:val="28"/>
          <w:lang w:eastAsia="zh-CN"/>
        </w:rPr>
        <w:t>土地征收成片开发标准</w:t>
      </w:r>
      <w:r>
        <w:rPr>
          <w:rStyle w:val="fontstyle01"/>
          <w:rFonts w:ascii="Times New Roman" w:eastAsia="仿宋" w:hAnsi="Times New Roman"/>
          <w:color w:val="auto"/>
          <w:kern w:val="2"/>
          <w:sz w:val="28"/>
          <w:szCs w:val="28"/>
          <w:lang w:eastAsia="zh-CN"/>
        </w:rPr>
        <w:t>&gt;</w:t>
      </w:r>
      <w:r>
        <w:rPr>
          <w:rStyle w:val="fontstyle01"/>
          <w:rFonts w:ascii="Times New Roman" w:eastAsia="仿宋" w:hAnsi="Times New Roman"/>
          <w:color w:val="auto"/>
          <w:kern w:val="2"/>
          <w:sz w:val="28"/>
          <w:szCs w:val="28"/>
          <w:lang w:eastAsia="zh-CN"/>
        </w:rPr>
        <w:t>的通知》（自然资规〔</w:t>
      </w:r>
      <w:r>
        <w:rPr>
          <w:rStyle w:val="fontstyle01"/>
          <w:rFonts w:ascii="Times New Roman" w:eastAsia="仿宋" w:hAnsi="Times New Roman"/>
          <w:color w:val="auto"/>
          <w:kern w:val="2"/>
          <w:sz w:val="28"/>
          <w:szCs w:val="28"/>
          <w:lang w:eastAsia="zh-CN"/>
        </w:rPr>
        <w:t>2023</w:t>
      </w:r>
      <w:r>
        <w:rPr>
          <w:rStyle w:val="fontstyle01"/>
          <w:rFonts w:ascii="Times New Roman" w:eastAsia="仿宋" w:hAnsi="Times New Roman"/>
          <w:color w:val="auto"/>
          <w:kern w:val="2"/>
          <w:sz w:val="28"/>
          <w:szCs w:val="28"/>
          <w:lang w:eastAsia="zh-CN"/>
        </w:rPr>
        <w:t>〕</w:t>
      </w:r>
      <w:r>
        <w:rPr>
          <w:rStyle w:val="fontstyle01"/>
          <w:rFonts w:ascii="Times New Roman" w:eastAsia="仿宋" w:hAnsi="Times New Roman"/>
          <w:color w:val="auto"/>
          <w:kern w:val="2"/>
          <w:sz w:val="28"/>
          <w:szCs w:val="28"/>
          <w:lang w:eastAsia="zh-CN"/>
        </w:rPr>
        <w:t>7</w:t>
      </w:r>
      <w:r>
        <w:rPr>
          <w:rStyle w:val="fontstyle01"/>
          <w:rFonts w:ascii="Times New Roman" w:eastAsia="仿宋" w:hAnsi="Times New Roman"/>
          <w:color w:val="auto"/>
          <w:kern w:val="2"/>
          <w:sz w:val="28"/>
          <w:szCs w:val="28"/>
          <w:lang w:eastAsia="zh-CN"/>
        </w:rPr>
        <w:t>号）和《广东省自然资源厅关于规范土地征收成片开发工作的通知》（粤自然资发〔</w:t>
      </w:r>
      <w:r>
        <w:rPr>
          <w:rStyle w:val="fontstyle01"/>
          <w:rFonts w:ascii="Times New Roman" w:eastAsia="仿宋" w:hAnsi="Times New Roman"/>
          <w:color w:val="auto"/>
          <w:kern w:val="2"/>
          <w:sz w:val="28"/>
          <w:szCs w:val="28"/>
          <w:lang w:eastAsia="zh-CN"/>
        </w:rPr>
        <w:t>2021</w:t>
      </w:r>
      <w:r>
        <w:rPr>
          <w:rStyle w:val="fontstyle01"/>
          <w:rFonts w:ascii="Times New Roman" w:eastAsia="仿宋" w:hAnsi="Times New Roman"/>
          <w:color w:val="auto"/>
          <w:kern w:val="2"/>
          <w:sz w:val="28"/>
          <w:szCs w:val="28"/>
          <w:lang w:eastAsia="zh-CN"/>
        </w:rPr>
        <w:t>〕</w:t>
      </w:r>
      <w:r>
        <w:rPr>
          <w:rStyle w:val="fontstyle01"/>
          <w:rFonts w:ascii="Times New Roman" w:eastAsia="仿宋" w:hAnsi="Times New Roman"/>
          <w:color w:val="auto"/>
          <w:kern w:val="2"/>
          <w:sz w:val="28"/>
          <w:szCs w:val="28"/>
          <w:lang w:eastAsia="zh-CN"/>
        </w:rPr>
        <w:t>20</w:t>
      </w:r>
      <w:r>
        <w:rPr>
          <w:rStyle w:val="fontstyle01"/>
          <w:rFonts w:ascii="Times New Roman" w:eastAsia="仿宋" w:hAnsi="Times New Roman"/>
          <w:color w:val="auto"/>
          <w:kern w:val="2"/>
          <w:sz w:val="28"/>
          <w:szCs w:val="28"/>
          <w:lang w:eastAsia="zh-CN"/>
        </w:rPr>
        <w:t>号）等相关文件和规范要求，符合上报审查要求。</w:t>
      </w: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公示时间</w:t>
      </w:r>
    </w:p>
    <w:p w:rsidR="002422A3" w:rsidRDefault="005E279B">
      <w:pPr>
        <w:pStyle w:val="a4"/>
        <w:spacing w:before="0" w:line="360" w:lineRule="auto"/>
        <w:ind w:left="0" w:firstLineChars="200" w:firstLine="560"/>
        <w:rPr>
          <w:rStyle w:val="fontstyle01"/>
          <w:rFonts w:ascii="Times New Roman" w:eastAsia="仿宋" w:hAnsi="Times New Roman"/>
          <w:color w:val="auto"/>
          <w:kern w:val="2"/>
          <w:sz w:val="28"/>
          <w:szCs w:val="28"/>
          <w:lang w:eastAsia="zh-CN"/>
        </w:rPr>
      </w:pPr>
      <w:r>
        <w:rPr>
          <w:rStyle w:val="fontstyle01"/>
          <w:rFonts w:ascii="Times New Roman" w:eastAsia="仿宋" w:hAnsi="Times New Roman"/>
          <w:color w:val="auto"/>
          <w:kern w:val="2"/>
          <w:sz w:val="28"/>
          <w:szCs w:val="28"/>
          <w:lang w:eastAsia="zh-CN"/>
        </w:rPr>
        <w:t>公示期为</w:t>
      </w:r>
      <w:r>
        <w:rPr>
          <w:rStyle w:val="fontstyle01"/>
          <w:rFonts w:ascii="Times New Roman" w:eastAsia="仿宋" w:hAnsi="Times New Roman"/>
          <w:color w:val="auto"/>
          <w:kern w:val="2"/>
          <w:sz w:val="28"/>
          <w:szCs w:val="28"/>
          <w:lang w:eastAsia="zh-CN"/>
        </w:rPr>
        <w:t>7</w:t>
      </w:r>
      <w:r>
        <w:rPr>
          <w:rStyle w:val="fontstyle01"/>
          <w:rFonts w:ascii="Times New Roman" w:eastAsia="仿宋" w:hAnsi="Times New Roman"/>
          <w:color w:val="auto"/>
          <w:kern w:val="2"/>
          <w:sz w:val="28"/>
          <w:szCs w:val="28"/>
          <w:lang w:eastAsia="zh-CN"/>
        </w:rPr>
        <w:t>天，从</w:t>
      </w:r>
      <w:r>
        <w:rPr>
          <w:rStyle w:val="fontstyle01"/>
          <w:rFonts w:ascii="Times New Roman" w:eastAsia="仿宋" w:hAnsi="Times New Roman"/>
          <w:color w:val="auto"/>
          <w:kern w:val="2"/>
          <w:sz w:val="28"/>
          <w:szCs w:val="28"/>
          <w:lang w:eastAsia="zh-CN"/>
        </w:rPr>
        <w:t>2024</w:t>
      </w:r>
      <w:r>
        <w:rPr>
          <w:rStyle w:val="fontstyle01"/>
          <w:rFonts w:ascii="Times New Roman" w:eastAsia="仿宋" w:hAnsi="Times New Roman"/>
          <w:color w:val="auto"/>
          <w:kern w:val="2"/>
          <w:sz w:val="28"/>
          <w:szCs w:val="28"/>
          <w:lang w:eastAsia="zh-CN"/>
        </w:rPr>
        <w:t>年</w:t>
      </w:r>
      <w:r w:rsidR="00E56D33">
        <w:rPr>
          <w:rStyle w:val="fontstyle01"/>
          <w:rFonts w:ascii="Times New Roman" w:eastAsia="仿宋" w:hAnsi="Times New Roman" w:hint="eastAsia"/>
          <w:color w:val="auto"/>
          <w:kern w:val="2"/>
          <w:sz w:val="28"/>
          <w:szCs w:val="28"/>
          <w:lang w:eastAsia="zh-CN"/>
        </w:rPr>
        <w:t>3</w:t>
      </w:r>
      <w:r w:rsidRPr="00274890">
        <w:rPr>
          <w:rStyle w:val="fontstyle01"/>
          <w:rFonts w:ascii="Times New Roman" w:eastAsia="仿宋" w:hAnsi="Times New Roman"/>
          <w:color w:val="auto"/>
          <w:kern w:val="2"/>
          <w:sz w:val="28"/>
          <w:szCs w:val="28"/>
          <w:lang w:eastAsia="zh-CN"/>
        </w:rPr>
        <w:t>月</w:t>
      </w:r>
      <w:r w:rsidR="00274890" w:rsidRPr="00274890">
        <w:rPr>
          <w:rStyle w:val="fontstyle01"/>
          <w:rFonts w:ascii="Times New Roman" w:eastAsia="仿宋" w:hAnsi="Times New Roman" w:hint="eastAsia"/>
          <w:color w:val="auto"/>
          <w:kern w:val="2"/>
          <w:sz w:val="28"/>
          <w:szCs w:val="28"/>
          <w:lang w:eastAsia="zh-CN"/>
        </w:rPr>
        <w:t>9</w:t>
      </w:r>
      <w:r w:rsidRPr="00274890">
        <w:rPr>
          <w:rStyle w:val="fontstyle01"/>
          <w:rFonts w:ascii="Times New Roman" w:eastAsia="仿宋" w:hAnsi="Times New Roman"/>
          <w:color w:val="auto"/>
          <w:kern w:val="2"/>
          <w:sz w:val="28"/>
          <w:szCs w:val="28"/>
          <w:lang w:eastAsia="zh-CN"/>
        </w:rPr>
        <w:t>日至</w:t>
      </w:r>
      <w:r w:rsidRPr="00274890">
        <w:rPr>
          <w:rStyle w:val="fontstyle01"/>
          <w:rFonts w:ascii="Times New Roman" w:eastAsia="仿宋" w:hAnsi="Times New Roman"/>
          <w:color w:val="auto"/>
          <w:kern w:val="2"/>
          <w:sz w:val="28"/>
          <w:szCs w:val="28"/>
          <w:lang w:eastAsia="zh-CN"/>
        </w:rPr>
        <w:t>2024</w:t>
      </w:r>
      <w:r w:rsidRPr="00274890">
        <w:rPr>
          <w:rStyle w:val="fontstyle01"/>
          <w:rFonts w:ascii="Times New Roman" w:eastAsia="仿宋" w:hAnsi="Times New Roman"/>
          <w:color w:val="auto"/>
          <w:kern w:val="2"/>
          <w:sz w:val="28"/>
          <w:szCs w:val="28"/>
          <w:lang w:eastAsia="zh-CN"/>
        </w:rPr>
        <w:t>年</w:t>
      </w:r>
      <w:r w:rsidRPr="00274890">
        <w:rPr>
          <w:rStyle w:val="fontstyle01"/>
          <w:rFonts w:ascii="Times New Roman" w:eastAsia="仿宋" w:hAnsi="Times New Roman" w:hint="eastAsia"/>
          <w:color w:val="auto"/>
          <w:kern w:val="2"/>
          <w:sz w:val="28"/>
          <w:szCs w:val="28"/>
          <w:lang w:eastAsia="zh-CN"/>
        </w:rPr>
        <w:t>3</w:t>
      </w:r>
      <w:r w:rsidRPr="00274890">
        <w:rPr>
          <w:rStyle w:val="fontstyle01"/>
          <w:rFonts w:ascii="Times New Roman" w:eastAsia="仿宋" w:hAnsi="Times New Roman"/>
          <w:color w:val="auto"/>
          <w:kern w:val="2"/>
          <w:sz w:val="28"/>
          <w:szCs w:val="28"/>
          <w:lang w:eastAsia="zh-CN"/>
        </w:rPr>
        <w:t>月</w:t>
      </w:r>
      <w:r w:rsidR="00274890" w:rsidRPr="00274890">
        <w:rPr>
          <w:rStyle w:val="fontstyle01"/>
          <w:rFonts w:ascii="Times New Roman" w:eastAsia="仿宋" w:hAnsi="Times New Roman" w:hint="eastAsia"/>
          <w:color w:val="auto"/>
          <w:kern w:val="2"/>
          <w:sz w:val="28"/>
          <w:szCs w:val="28"/>
          <w:lang w:eastAsia="zh-CN"/>
        </w:rPr>
        <w:t>1</w:t>
      </w:r>
      <w:r w:rsidR="00274890">
        <w:rPr>
          <w:rStyle w:val="fontstyle01"/>
          <w:rFonts w:ascii="Times New Roman" w:eastAsia="仿宋" w:hAnsi="Times New Roman" w:hint="eastAsia"/>
          <w:color w:val="auto"/>
          <w:kern w:val="2"/>
          <w:sz w:val="28"/>
          <w:szCs w:val="28"/>
          <w:lang w:eastAsia="zh-CN"/>
        </w:rPr>
        <w:t>5</w:t>
      </w:r>
      <w:r w:rsidRPr="00274890">
        <w:rPr>
          <w:rStyle w:val="fontstyle01"/>
          <w:rFonts w:ascii="Times New Roman" w:eastAsia="仿宋" w:hAnsi="Times New Roman"/>
          <w:color w:val="auto"/>
          <w:kern w:val="2"/>
          <w:sz w:val="28"/>
          <w:szCs w:val="28"/>
          <w:lang w:eastAsia="zh-CN"/>
        </w:rPr>
        <w:t>日</w:t>
      </w:r>
      <w:r>
        <w:rPr>
          <w:rStyle w:val="fontstyle01"/>
          <w:rFonts w:ascii="Times New Roman" w:eastAsia="仿宋" w:hAnsi="Times New Roman"/>
          <w:color w:val="auto"/>
          <w:kern w:val="2"/>
          <w:sz w:val="28"/>
          <w:szCs w:val="28"/>
          <w:lang w:eastAsia="zh-CN"/>
        </w:rPr>
        <w:t>。</w:t>
      </w:r>
    </w:p>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公示方式和地点</w:t>
      </w:r>
    </w:p>
    <w:p w:rsidR="002422A3" w:rsidRDefault="005E279B">
      <w:pPr>
        <w:pStyle w:val="a4"/>
        <w:spacing w:before="0" w:line="360" w:lineRule="auto"/>
        <w:ind w:left="0" w:firstLineChars="200" w:firstLine="560"/>
        <w:rPr>
          <w:rStyle w:val="fontstyle01"/>
          <w:rFonts w:ascii="Times New Roman" w:eastAsia="仿宋" w:hAnsi="Times New Roman"/>
          <w:color w:val="auto"/>
          <w:kern w:val="2"/>
          <w:sz w:val="28"/>
          <w:szCs w:val="28"/>
          <w:lang w:eastAsia="zh-CN"/>
        </w:rPr>
      </w:pPr>
      <w:r>
        <w:rPr>
          <w:rStyle w:val="fontstyle01"/>
          <w:rFonts w:ascii="Times New Roman" w:eastAsia="仿宋" w:hAnsi="Times New Roman"/>
          <w:color w:val="auto"/>
          <w:kern w:val="2"/>
          <w:sz w:val="28"/>
          <w:szCs w:val="28"/>
          <w:lang w:eastAsia="zh-CN"/>
        </w:rPr>
        <w:t>本方案将在</w:t>
      </w:r>
      <w:r>
        <w:rPr>
          <w:rStyle w:val="fontstyle01"/>
          <w:rFonts w:ascii="Times New Roman" w:eastAsia="仿宋" w:hAnsi="Times New Roman"/>
          <w:color w:val="auto"/>
          <w:sz w:val="28"/>
          <w:szCs w:val="28"/>
          <w:lang w:eastAsia="zh-CN"/>
        </w:rPr>
        <w:t>拟实行土地征收成片开发</w:t>
      </w:r>
      <w:r>
        <w:rPr>
          <w:rStyle w:val="fontstyle01"/>
          <w:rFonts w:ascii="Times New Roman" w:eastAsia="仿宋" w:hAnsi="Times New Roman"/>
          <w:color w:val="auto"/>
          <w:kern w:val="2"/>
          <w:sz w:val="28"/>
          <w:szCs w:val="28"/>
          <w:lang w:eastAsia="zh-CN"/>
        </w:rPr>
        <w:t>的镇街、村的公示栏进行张贴公示。</w:t>
      </w:r>
    </w:p>
    <w:p w:rsidR="002422A3" w:rsidRDefault="005E279B">
      <w:pPr>
        <w:spacing w:line="360" w:lineRule="auto"/>
        <w:ind w:firstLineChars="200" w:firstLine="482"/>
        <w:jc w:val="center"/>
        <w:rPr>
          <w:rFonts w:eastAsia="仿宋"/>
          <w:b/>
          <w:sz w:val="24"/>
        </w:rPr>
      </w:pPr>
      <w:r>
        <w:rPr>
          <w:rFonts w:eastAsia="仿宋"/>
          <w:b/>
          <w:sz w:val="24"/>
        </w:rPr>
        <w:t>表</w:t>
      </w:r>
      <w:r>
        <w:rPr>
          <w:rFonts w:eastAsia="仿宋"/>
          <w:b/>
          <w:sz w:val="24"/>
        </w:rPr>
        <w:t>9-1</w:t>
      </w:r>
      <w:r>
        <w:rPr>
          <w:rFonts w:eastAsia="仿宋"/>
          <w:b/>
          <w:sz w:val="24"/>
        </w:rPr>
        <w:t>成片开发范围涉及的镇街、村</w:t>
      </w:r>
    </w:p>
    <w:p w:rsidR="002422A3" w:rsidRDefault="005E279B">
      <w:pPr>
        <w:adjustRightInd w:val="0"/>
        <w:snapToGrid w:val="0"/>
        <w:jc w:val="right"/>
        <w:rPr>
          <w:rFonts w:eastAsia="仿宋"/>
          <w:sz w:val="24"/>
        </w:rPr>
      </w:pPr>
      <w:r>
        <w:rPr>
          <w:rFonts w:eastAsia="仿宋"/>
          <w:sz w:val="24"/>
        </w:rPr>
        <w:t>单位：公顷</w:t>
      </w:r>
    </w:p>
    <w:tbl>
      <w:tblPr>
        <w:tblW w:w="9260" w:type="dxa"/>
        <w:tblInd w:w="113" w:type="dxa"/>
        <w:tblLook w:val="04A0"/>
      </w:tblPr>
      <w:tblGrid>
        <w:gridCol w:w="2400"/>
        <w:gridCol w:w="2800"/>
        <w:gridCol w:w="1800"/>
        <w:gridCol w:w="2260"/>
      </w:tblGrid>
      <w:tr w:rsidR="002422A3">
        <w:trPr>
          <w:trHeight w:val="285"/>
          <w:tblHeader/>
        </w:trPr>
        <w:tc>
          <w:tcPr>
            <w:tcW w:w="2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b/>
                <w:bCs/>
                <w:kern w:val="0"/>
                <w:szCs w:val="21"/>
              </w:rPr>
            </w:pPr>
            <w:r>
              <w:rPr>
                <w:rFonts w:eastAsia="仿宋"/>
                <w:b/>
                <w:bCs/>
                <w:kern w:val="0"/>
                <w:szCs w:val="21"/>
              </w:rPr>
              <w:t>镇街</w:t>
            </w:r>
          </w:p>
        </w:tc>
        <w:tc>
          <w:tcPr>
            <w:tcW w:w="2800"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b/>
                <w:bCs/>
                <w:kern w:val="0"/>
                <w:szCs w:val="21"/>
              </w:rPr>
            </w:pPr>
            <w:r>
              <w:rPr>
                <w:rFonts w:eastAsia="仿宋"/>
                <w:b/>
                <w:bCs/>
                <w:kern w:val="0"/>
                <w:szCs w:val="21"/>
              </w:rPr>
              <w:t>权属单位</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b/>
                <w:bCs/>
                <w:kern w:val="0"/>
                <w:szCs w:val="21"/>
              </w:rPr>
            </w:pPr>
            <w:r>
              <w:rPr>
                <w:rFonts w:eastAsia="仿宋"/>
                <w:b/>
                <w:bCs/>
                <w:kern w:val="0"/>
                <w:szCs w:val="21"/>
              </w:rPr>
              <w:t>片区面积（公顷）</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b/>
                <w:bCs/>
                <w:kern w:val="0"/>
                <w:szCs w:val="21"/>
              </w:rPr>
            </w:pPr>
            <w:r>
              <w:rPr>
                <w:rFonts w:eastAsia="仿宋"/>
                <w:b/>
                <w:bCs/>
                <w:kern w:val="0"/>
                <w:szCs w:val="21"/>
              </w:rPr>
              <w:t>小计（公顷）</w:t>
            </w:r>
          </w:p>
        </w:tc>
      </w:tr>
      <w:tr w:rsidR="002422A3">
        <w:trPr>
          <w:trHeight w:val="285"/>
        </w:trPr>
        <w:tc>
          <w:tcPr>
            <w:tcW w:w="240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占陇镇</w:t>
            </w: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陂头经济联合社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10.0801</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76.1132</w:t>
            </w: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北门经济联合社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12.8655</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定厝寮经济联合社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0.9918</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93"/>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东西南经济联合社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17.7503</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六营经济联合社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9.5253</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西楼经济联合社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1.0336</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玉溪经济联合社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23.5467</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下村经济联合社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0.064</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延长埔经济联合社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0.2559</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流沙东街道</w:t>
            </w: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郭厝寮经济联合社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5.046</w:t>
            </w:r>
          </w:p>
        </w:tc>
        <w:tc>
          <w:tcPr>
            <w:tcW w:w="226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5.046</w:t>
            </w:r>
          </w:p>
        </w:tc>
      </w:tr>
      <w:tr w:rsidR="002422A3">
        <w:trPr>
          <w:trHeight w:val="285"/>
        </w:trPr>
        <w:tc>
          <w:tcPr>
            <w:tcW w:w="2400" w:type="dxa"/>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下架山镇</w:t>
            </w: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葵岭经济联合社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0.8555</w:t>
            </w:r>
          </w:p>
        </w:tc>
        <w:tc>
          <w:tcPr>
            <w:tcW w:w="226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0.8555</w:t>
            </w:r>
          </w:p>
        </w:tc>
      </w:tr>
      <w:tr w:rsidR="002422A3">
        <w:trPr>
          <w:trHeight w:val="285"/>
        </w:trPr>
        <w:tc>
          <w:tcPr>
            <w:tcW w:w="240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lastRenderedPageBreak/>
              <w:t>云落镇</w:t>
            </w: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大池经济联合社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0.6592</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2.022</w:t>
            </w: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中央寨经济联合社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1.3628</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大坝镇</w:t>
            </w: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半径经济联合社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6.3887</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hint="eastAsia"/>
                <w:kern w:val="0"/>
                <w:szCs w:val="21"/>
              </w:rPr>
              <w:t>18.</w:t>
            </w:r>
            <w:r w:rsidR="00E56D33">
              <w:rPr>
                <w:rFonts w:eastAsia="仿宋" w:hint="eastAsia"/>
                <w:kern w:val="0"/>
                <w:szCs w:val="21"/>
              </w:rPr>
              <w:t>7890</w:t>
            </w: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横山经济联合社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4.7577</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社前经济联合社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1.7538</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铁山洋经济联合社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E56D33">
            <w:pPr>
              <w:widowControl/>
              <w:adjustRightInd w:val="0"/>
              <w:snapToGrid w:val="0"/>
              <w:jc w:val="center"/>
              <w:rPr>
                <w:rFonts w:eastAsia="仿宋"/>
                <w:kern w:val="0"/>
                <w:szCs w:val="21"/>
              </w:rPr>
            </w:pPr>
            <w:r>
              <w:rPr>
                <w:rFonts w:eastAsia="仿宋" w:hint="eastAsia"/>
                <w:kern w:val="0"/>
                <w:szCs w:val="21"/>
              </w:rPr>
              <w:t>5.8888</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345"/>
        </w:trPr>
        <w:tc>
          <w:tcPr>
            <w:tcW w:w="2400" w:type="dxa"/>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南径镇</w:t>
            </w: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锡坑经济联合社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0.8229</w:t>
            </w:r>
          </w:p>
        </w:tc>
        <w:tc>
          <w:tcPr>
            <w:tcW w:w="226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0.8229</w:t>
            </w:r>
          </w:p>
        </w:tc>
      </w:tr>
      <w:tr w:rsidR="002422A3">
        <w:trPr>
          <w:trHeight w:val="285"/>
        </w:trPr>
        <w:tc>
          <w:tcPr>
            <w:tcW w:w="240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高埔镇</w:t>
            </w: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高车经济联合社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0.0178</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1.1004</w:t>
            </w:r>
          </w:p>
        </w:tc>
      </w:tr>
      <w:tr w:rsidR="002422A3">
        <w:trPr>
          <w:trHeight w:val="285"/>
        </w:trPr>
        <w:tc>
          <w:tcPr>
            <w:tcW w:w="240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c>
          <w:tcPr>
            <w:tcW w:w="280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栅仔经济联合社</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1.0826</w:t>
            </w:r>
          </w:p>
        </w:tc>
        <w:tc>
          <w:tcPr>
            <w:tcW w:w="2260" w:type="dxa"/>
            <w:vMerge/>
            <w:tcBorders>
              <w:top w:val="nil"/>
              <w:left w:val="single" w:sz="4" w:space="0" w:color="auto"/>
              <w:bottom w:val="single" w:sz="4" w:space="0" w:color="auto"/>
              <w:right w:val="single" w:sz="4" w:space="0" w:color="auto"/>
            </w:tcBorders>
            <w:vAlign w:val="center"/>
          </w:tcPr>
          <w:p w:rsidR="002422A3" w:rsidRDefault="002422A3">
            <w:pPr>
              <w:widowControl/>
              <w:adjustRightInd w:val="0"/>
              <w:snapToGrid w:val="0"/>
              <w:jc w:val="left"/>
              <w:rPr>
                <w:rFonts w:eastAsia="仿宋"/>
                <w:kern w:val="0"/>
                <w:szCs w:val="21"/>
              </w:rPr>
            </w:pPr>
          </w:p>
        </w:tc>
      </w:tr>
      <w:tr w:rsidR="002422A3">
        <w:trPr>
          <w:trHeight w:val="285"/>
        </w:trPr>
        <w:tc>
          <w:tcPr>
            <w:tcW w:w="5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国有</w:t>
            </w:r>
          </w:p>
        </w:tc>
        <w:tc>
          <w:tcPr>
            <w:tcW w:w="1800" w:type="dxa"/>
            <w:tcBorders>
              <w:top w:val="nil"/>
              <w:left w:val="nil"/>
              <w:bottom w:val="single" w:sz="4" w:space="0" w:color="auto"/>
              <w:right w:val="single" w:sz="4" w:space="0" w:color="auto"/>
            </w:tcBorders>
            <w:shd w:val="clear" w:color="auto" w:fill="auto"/>
            <w:noWrap/>
            <w:vAlign w:val="bottom"/>
          </w:tcPr>
          <w:p w:rsidR="002422A3" w:rsidRDefault="005E279B">
            <w:pPr>
              <w:widowControl/>
              <w:adjustRightInd w:val="0"/>
              <w:snapToGrid w:val="0"/>
              <w:jc w:val="center"/>
              <w:rPr>
                <w:rFonts w:eastAsia="仿宋"/>
                <w:kern w:val="0"/>
                <w:szCs w:val="21"/>
              </w:rPr>
            </w:pPr>
            <w:r>
              <w:rPr>
                <w:rFonts w:eastAsia="仿宋"/>
                <w:kern w:val="0"/>
                <w:szCs w:val="21"/>
              </w:rPr>
              <w:t>0.4283</w:t>
            </w:r>
          </w:p>
        </w:tc>
        <w:tc>
          <w:tcPr>
            <w:tcW w:w="2260" w:type="dxa"/>
            <w:tcBorders>
              <w:top w:val="nil"/>
              <w:left w:val="nil"/>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0.4283</w:t>
            </w:r>
          </w:p>
        </w:tc>
      </w:tr>
      <w:tr w:rsidR="002422A3">
        <w:trPr>
          <w:trHeight w:val="285"/>
        </w:trPr>
        <w:tc>
          <w:tcPr>
            <w:tcW w:w="5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22A3" w:rsidRDefault="005E279B">
            <w:pPr>
              <w:widowControl/>
              <w:adjustRightInd w:val="0"/>
              <w:snapToGrid w:val="0"/>
              <w:jc w:val="center"/>
              <w:rPr>
                <w:rFonts w:eastAsia="仿宋"/>
                <w:kern w:val="0"/>
                <w:szCs w:val="21"/>
              </w:rPr>
            </w:pPr>
            <w:r>
              <w:rPr>
                <w:rFonts w:eastAsia="仿宋"/>
                <w:kern w:val="0"/>
                <w:szCs w:val="21"/>
              </w:rPr>
              <w:t>总计</w:t>
            </w:r>
          </w:p>
        </w:tc>
        <w:tc>
          <w:tcPr>
            <w:tcW w:w="1800" w:type="dxa"/>
            <w:tcBorders>
              <w:top w:val="nil"/>
              <w:left w:val="nil"/>
              <w:bottom w:val="single" w:sz="4" w:space="0" w:color="auto"/>
              <w:right w:val="single" w:sz="4" w:space="0" w:color="auto"/>
            </w:tcBorders>
            <w:shd w:val="clear" w:color="auto" w:fill="auto"/>
            <w:noWrap/>
            <w:vAlign w:val="center"/>
          </w:tcPr>
          <w:p w:rsidR="002422A3" w:rsidRDefault="00D81082">
            <w:pPr>
              <w:widowControl/>
              <w:adjustRightInd w:val="0"/>
              <w:snapToGrid w:val="0"/>
              <w:jc w:val="center"/>
              <w:rPr>
                <w:rFonts w:eastAsia="仿宋"/>
                <w:kern w:val="0"/>
                <w:szCs w:val="21"/>
              </w:rPr>
            </w:pPr>
            <w:r>
              <w:rPr>
                <w:rFonts w:eastAsia="仿宋"/>
                <w:kern w:val="0"/>
                <w:szCs w:val="21"/>
              </w:rPr>
              <w:t>105.1773</w:t>
            </w:r>
          </w:p>
        </w:tc>
        <w:tc>
          <w:tcPr>
            <w:tcW w:w="2260" w:type="dxa"/>
            <w:tcBorders>
              <w:top w:val="nil"/>
              <w:left w:val="nil"/>
              <w:bottom w:val="single" w:sz="4" w:space="0" w:color="auto"/>
              <w:right w:val="single" w:sz="4" w:space="0" w:color="auto"/>
            </w:tcBorders>
            <w:shd w:val="clear" w:color="auto" w:fill="auto"/>
            <w:noWrap/>
            <w:vAlign w:val="center"/>
          </w:tcPr>
          <w:p w:rsidR="002422A3" w:rsidRDefault="00D81082">
            <w:pPr>
              <w:widowControl/>
              <w:adjustRightInd w:val="0"/>
              <w:snapToGrid w:val="0"/>
              <w:jc w:val="center"/>
              <w:rPr>
                <w:rFonts w:eastAsia="仿宋"/>
                <w:kern w:val="0"/>
                <w:szCs w:val="21"/>
              </w:rPr>
            </w:pPr>
            <w:r>
              <w:rPr>
                <w:rFonts w:eastAsia="仿宋"/>
                <w:kern w:val="0"/>
                <w:szCs w:val="21"/>
              </w:rPr>
              <w:t>105.1773</w:t>
            </w:r>
          </w:p>
        </w:tc>
      </w:tr>
    </w:tbl>
    <w:p w:rsidR="002422A3" w:rsidRDefault="005E279B">
      <w:pPr>
        <w:pStyle w:val="aa"/>
        <w:numPr>
          <w:ilvl w:val="0"/>
          <w:numId w:val="1"/>
        </w:numPr>
        <w:spacing w:line="360" w:lineRule="auto"/>
        <w:ind w:firstLineChars="0"/>
        <w:rPr>
          <w:rStyle w:val="fontstyle01"/>
          <w:rFonts w:ascii="Times New Roman" w:eastAsia="仿宋"/>
          <w:b/>
          <w:bCs/>
          <w:color w:val="auto"/>
          <w:sz w:val="36"/>
          <w:szCs w:val="36"/>
        </w:rPr>
      </w:pPr>
      <w:r>
        <w:rPr>
          <w:rStyle w:val="fontstyle01"/>
          <w:rFonts w:ascii="Times New Roman" w:eastAsia="仿宋"/>
          <w:b/>
          <w:bCs/>
          <w:color w:val="auto"/>
          <w:sz w:val="36"/>
          <w:szCs w:val="36"/>
        </w:rPr>
        <w:t>公示意见反馈方式</w:t>
      </w:r>
    </w:p>
    <w:p w:rsidR="002422A3" w:rsidRDefault="005E279B">
      <w:pPr>
        <w:pStyle w:val="a4"/>
        <w:spacing w:before="0" w:line="360" w:lineRule="auto"/>
        <w:ind w:left="0" w:firstLineChars="200" w:firstLine="560"/>
        <w:rPr>
          <w:rFonts w:ascii="Times New Roman" w:eastAsia="仿宋" w:hAnsi="Times New Roman" w:cs="Times New Roman"/>
          <w:sz w:val="28"/>
          <w:szCs w:val="28"/>
          <w:lang w:eastAsia="zh-CN"/>
        </w:rPr>
      </w:pPr>
      <w:r>
        <w:rPr>
          <w:rStyle w:val="fontstyle01"/>
          <w:rFonts w:ascii="Times New Roman" w:eastAsia="仿宋" w:hAnsi="Times New Roman"/>
          <w:color w:val="auto"/>
          <w:kern w:val="2"/>
          <w:sz w:val="28"/>
          <w:szCs w:val="28"/>
          <w:lang w:eastAsia="zh-CN"/>
        </w:rPr>
        <w:t>以书面意见及电话咨询等方式（联系地址</w:t>
      </w:r>
      <w:r>
        <w:rPr>
          <w:rStyle w:val="fontstyle01"/>
          <w:rFonts w:ascii="Times New Roman" w:eastAsia="仿宋" w:hAnsi="Times New Roman"/>
          <w:color w:val="auto"/>
          <w:kern w:val="2"/>
          <w:sz w:val="28"/>
          <w:szCs w:val="28"/>
          <w:lang w:eastAsia="zh-CN"/>
        </w:rPr>
        <w:t>:</w:t>
      </w:r>
      <w:r>
        <w:rPr>
          <w:rStyle w:val="fontstyle01"/>
          <w:rFonts w:ascii="Times New Roman" w:eastAsia="仿宋" w:hAnsi="Times New Roman"/>
          <w:color w:val="auto"/>
          <w:kern w:val="2"/>
          <w:sz w:val="28"/>
          <w:szCs w:val="28"/>
          <w:lang w:eastAsia="zh-CN"/>
        </w:rPr>
        <w:t>普宁市自然资源局，联系电话</w:t>
      </w:r>
      <w:r>
        <w:rPr>
          <w:rStyle w:val="fontstyle01"/>
          <w:rFonts w:ascii="Times New Roman" w:eastAsia="仿宋" w:hAnsi="Times New Roman"/>
          <w:color w:val="auto"/>
          <w:kern w:val="2"/>
          <w:sz w:val="28"/>
          <w:szCs w:val="28"/>
          <w:lang w:eastAsia="zh-CN"/>
        </w:rPr>
        <w:t>:2935225</w:t>
      </w:r>
      <w:r>
        <w:rPr>
          <w:rStyle w:val="fontstyle01"/>
          <w:rFonts w:ascii="Times New Roman" w:eastAsia="仿宋" w:hAnsi="Times New Roman"/>
          <w:color w:val="auto"/>
          <w:kern w:val="2"/>
          <w:sz w:val="28"/>
          <w:szCs w:val="28"/>
          <w:lang w:eastAsia="zh-CN"/>
        </w:rPr>
        <w:t>）。</w:t>
      </w:r>
    </w:p>
    <w:sectPr w:rsidR="002422A3" w:rsidSect="004A0F1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79B" w:rsidRDefault="005E279B">
      <w:r>
        <w:separator/>
      </w:r>
    </w:p>
  </w:endnote>
  <w:endnote w:type="continuationSeparator" w:id="1">
    <w:p w:rsidR="005E279B" w:rsidRDefault="005E2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2A3" w:rsidRDefault="004A0F14">
    <w:pPr>
      <w:pStyle w:val="a5"/>
    </w:pPr>
    <w:r>
      <w:rPr>
        <w:noProof/>
      </w:rPr>
      <w:pict>
        <v:shapetype id="_x0000_t202" coordsize="21600,21600" o:spt="202" path="m,l,21600r21600,l21600,xe">
          <v:stroke joinstyle="miter"/>
          <v:path gradientshapeok="t" o:connecttype="rect"/>
        </v:shapetype>
        <v:shape id="Text Box 1" o:spid="_x0000_s1026" type="#_x0000_t202" style="position:absolute;margin-left:0;margin-top:0;width:4.5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" filled="f" stroked="f">
          <v:textbox style="mso-fit-shape-to-text:t" inset="0,0,0,0">
            <w:txbxContent>
              <w:p w:rsidR="002422A3" w:rsidRDefault="004A0F14">
                <w:pPr>
                  <w:pStyle w:val="a5"/>
                </w:pPr>
                <w:r>
                  <w:fldChar w:fldCharType="begin"/>
                </w:r>
                <w:r w:rsidR="005E279B">
                  <w:instrText xml:space="preserve"> PAGE  \* MERGEFORMAT </w:instrText>
                </w:r>
                <w:r>
                  <w:fldChar w:fldCharType="separate"/>
                </w:r>
                <w:r w:rsidR="00274890">
                  <w:rPr>
                    <w:noProof/>
                  </w:rPr>
                  <w:t>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79B" w:rsidRDefault="005E279B">
      <w:r>
        <w:separator/>
      </w:r>
    </w:p>
  </w:footnote>
  <w:footnote w:type="continuationSeparator" w:id="1">
    <w:p w:rsidR="005E279B" w:rsidRDefault="005E27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D3E10"/>
    <w:multiLevelType w:val="multilevel"/>
    <w:tmpl w:val="0EFD3E10"/>
    <w:lvl w:ilvl="0">
      <w:start w:val="1"/>
      <w:numFmt w:val="japaneseCounting"/>
      <w:lvlText w:val="%1、"/>
      <w:lvlJc w:val="left"/>
      <w:pPr>
        <w:ind w:left="810" w:hanging="81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xZjA3YWFmM2Y1NTIyMmIxM2YzNGJmMmZjMDIwMDIifQ=="/>
  </w:docVars>
  <w:rsids>
    <w:rsidRoot w:val="09665ECD"/>
    <w:rsid w:val="00023948"/>
    <w:rsid w:val="00023A5C"/>
    <w:rsid w:val="00046E62"/>
    <w:rsid w:val="00073A8C"/>
    <w:rsid w:val="000804A6"/>
    <w:rsid w:val="00087935"/>
    <w:rsid w:val="000915AE"/>
    <w:rsid w:val="000A702D"/>
    <w:rsid w:val="000E01AB"/>
    <w:rsid w:val="000E7DBF"/>
    <w:rsid w:val="0010067D"/>
    <w:rsid w:val="0010199F"/>
    <w:rsid w:val="00111D77"/>
    <w:rsid w:val="0011227D"/>
    <w:rsid w:val="00116032"/>
    <w:rsid w:val="00121ED5"/>
    <w:rsid w:val="0013568B"/>
    <w:rsid w:val="00137A11"/>
    <w:rsid w:val="0014093D"/>
    <w:rsid w:val="001466E4"/>
    <w:rsid w:val="00147CB5"/>
    <w:rsid w:val="001514B1"/>
    <w:rsid w:val="0017675F"/>
    <w:rsid w:val="00177BC5"/>
    <w:rsid w:val="00187D35"/>
    <w:rsid w:val="001933D0"/>
    <w:rsid w:val="001B45D9"/>
    <w:rsid w:val="001D7FE2"/>
    <w:rsid w:val="001E3C9F"/>
    <w:rsid w:val="001E4673"/>
    <w:rsid w:val="001E5539"/>
    <w:rsid w:val="001E73D1"/>
    <w:rsid w:val="001F000B"/>
    <w:rsid w:val="001F231F"/>
    <w:rsid w:val="002011CB"/>
    <w:rsid w:val="0020434B"/>
    <w:rsid w:val="002156F1"/>
    <w:rsid w:val="00216859"/>
    <w:rsid w:val="002173C0"/>
    <w:rsid w:val="002422A3"/>
    <w:rsid w:val="00243E8E"/>
    <w:rsid w:val="00245320"/>
    <w:rsid w:val="00251174"/>
    <w:rsid w:val="00253921"/>
    <w:rsid w:val="00274890"/>
    <w:rsid w:val="00276F55"/>
    <w:rsid w:val="00297280"/>
    <w:rsid w:val="002A7110"/>
    <w:rsid w:val="002D70BB"/>
    <w:rsid w:val="002E16C8"/>
    <w:rsid w:val="002F6FCC"/>
    <w:rsid w:val="0031472E"/>
    <w:rsid w:val="00330884"/>
    <w:rsid w:val="0033178F"/>
    <w:rsid w:val="00342916"/>
    <w:rsid w:val="00367A6A"/>
    <w:rsid w:val="0037185B"/>
    <w:rsid w:val="0037381E"/>
    <w:rsid w:val="003742FC"/>
    <w:rsid w:val="003918C9"/>
    <w:rsid w:val="003A08E5"/>
    <w:rsid w:val="003A3C18"/>
    <w:rsid w:val="003A442F"/>
    <w:rsid w:val="003A72D2"/>
    <w:rsid w:val="003C215C"/>
    <w:rsid w:val="003C2E50"/>
    <w:rsid w:val="003D3826"/>
    <w:rsid w:val="003D6126"/>
    <w:rsid w:val="003E0F6A"/>
    <w:rsid w:val="003E252D"/>
    <w:rsid w:val="003E3C7F"/>
    <w:rsid w:val="003F5680"/>
    <w:rsid w:val="00415C81"/>
    <w:rsid w:val="00445371"/>
    <w:rsid w:val="004505B3"/>
    <w:rsid w:val="00466929"/>
    <w:rsid w:val="00467FB7"/>
    <w:rsid w:val="00476B2A"/>
    <w:rsid w:val="00483504"/>
    <w:rsid w:val="00493B3E"/>
    <w:rsid w:val="004942D7"/>
    <w:rsid w:val="004979B3"/>
    <w:rsid w:val="00497E9C"/>
    <w:rsid w:val="004A099D"/>
    <w:rsid w:val="004A0F14"/>
    <w:rsid w:val="004B04E4"/>
    <w:rsid w:val="004C3FF4"/>
    <w:rsid w:val="004D06B2"/>
    <w:rsid w:val="004D2952"/>
    <w:rsid w:val="004D2A0E"/>
    <w:rsid w:val="004D2DBC"/>
    <w:rsid w:val="004E435C"/>
    <w:rsid w:val="004F40F1"/>
    <w:rsid w:val="004F6BCD"/>
    <w:rsid w:val="00500023"/>
    <w:rsid w:val="00516BFF"/>
    <w:rsid w:val="00524AA3"/>
    <w:rsid w:val="005269D1"/>
    <w:rsid w:val="00535AC0"/>
    <w:rsid w:val="005365C3"/>
    <w:rsid w:val="0054194B"/>
    <w:rsid w:val="00546F5B"/>
    <w:rsid w:val="00547FC5"/>
    <w:rsid w:val="0055185A"/>
    <w:rsid w:val="00551AAC"/>
    <w:rsid w:val="00563AB2"/>
    <w:rsid w:val="00563FDD"/>
    <w:rsid w:val="00565873"/>
    <w:rsid w:val="00565C01"/>
    <w:rsid w:val="005874F9"/>
    <w:rsid w:val="00587EFB"/>
    <w:rsid w:val="005E279B"/>
    <w:rsid w:val="005F4B2B"/>
    <w:rsid w:val="005F5D7D"/>
    <w:rsid w:val="00605C82"/>
    <w:rsid w:val="00614AA7"/>
    <w:rsid w:val="00615562"/>
    <w:rsid w:val="006211C2"/>
    <w:rsid w:val="0062593A"/>
    <w:rsid w:val="0067054C"/>
    <w:rsid w:val="006757AD"/>
    <w:rsid w:val="00680074"/>
    <w:rsid w:val="00683776"/>
    <w:rsid w:val="006C0A5F"/>
    <w:rsid w:val="006C161C"/>
    <w:rsid w:val="006D1816"/>
    <w:rsid w:val="006D2EE5"/>
    <w:rsid w:val="006E0081"/>
    <w:rsid w:val="006E38F7"/>
    <w:rsid w:val="006F11C8"/>
    <w:rsid w:val="006F31DE"/>
    <w:rsid w:val="00705B54"/>
    <w:rsid w:val="007075FE"/>
    <w:rsid w:val="00717D5D"/>
    <w:rsid w:val="00723D1F"/>
    <w:rsid w:val="00727C95"/>
    <w:rsid w:val="00740D8D"/>
    <w:rsid w:val="00751D5A"/>
    <w:rsid w:val="00760039"/>
    <w:rsid w:val="00771C42"/>
    <w:rsid w:val="007810DE"/>
    <w:rsid w:val="007829ED"/>
    <w:rsid w:val="007A2316"/>
    <w:rsid w:val="007A7FAC"/>
    <w:rsid w:val="007B0179"/>
    <w:rsid w:val="007B561C"/>
    <w:rsid w:val="007D2130"/>
    <w:rsid w:val="007D56A6"/>
    <w:rsid w:val="007F5585"/>
    <w:rsid w:val="00801FA5"/>
    <w:rsid w:val="00815387"/>
    <w:rsid w:val="00817470"/>
    <w:rsid w:val="00823593"/>
    <w:rsid w:val="008327B5"/>
    <w:rsid w:val="00840BA9"/>
    <w:rsid w:val="00841FAE"/>
    <w:rsid w:val="00852EC2"/>
    <w:rsid w:val="00855438"/>
    <w:rsid w:val="00872E23"/>
    <w:rsid w:val="00890F26"/>
    <w:rsid w:val="00893451"/>
    <w:rsid w:val="008A77A4"/>
    <w:rsid w:val="008D1577"/>
    <w:rsid w:val="008D5E3F"/>
    <w:rsid w:val="008D79D4"/>
    <w:rsid w:val="00901477"/>
    <w:rsid w:val="0090364B"/>
    <w:rsid w:val="009110B7"/>
    <w:rsid w:val="00912BFF"/>
    <w:rsid w:val="0092395D"/>
    <w:rsid w:val="00930D1B"/>
    <w:rsid w:val="009545C5"/>
    <w:rsid w:val="00955432"/>
    <w:rsid w:val="00955F93"/>
    <w:rsid w:val="009750AD"/>
    <w:rsid w:val="00987640"/>
    <w:rsid w:val="009A25F7"/>
    <w:rsid w:val="009B0791"/>
    <w:rsid w:val="009C4D9D"/>
    <w:rsid w:val="009C737E"/>
    <w:rsid w:val="009C7B4A"/>
    <w:rsid w:val="009D0E89"/>
    <w:rsid w:val="009D3CC2"/>
    <w:rsid w:val="009D6B73"/>
    <w:rsid w:val="009E48A4"/>
    <w:rsid w:val="009F138B"/>
    <w:rsid w:val="009F1588"/>
    <w:rsid w:val="009F4FC6"/>
    <w:rsid w:val="00A13AE9"/>
    <w:rsid w:val="00A263DA"/>
    <w:rsid w:val="00A31159"/>
    <w:rsid w:val="00A369AB"/>
    <w:rsid w:val="00A37900"/>
    <w:rsid w:val="00A43F31"/>
    <w:rsid w:val="00A43FF8"/>
    <w:rsid w:val="00A56F12"/>
    <w:rsid w:val="00A57FC0"/>
    <w:rsid w:val="00A66BF8"/>
    <w:rsid w:val="00A7205A"/>
    <w:rsid w:val="00A8328A"/>
    <w:rsid w:val="00A92F2B"/>
    <w:rsid w:val="00AA3E96"/>
    <w:rsid w:val="00AA67C4"/>
    <w:rsid w:val="00AB19B4"/>
    <w:rsid w:val="00AB234C"/>
    <w:rsid w:val="00AB56EA"/>
    <w:rsid w:val="00AD0508"/>
    <w:rsid w:val="00AD6A22"/>
    <w:rsid w:val="00B14B9A"/>
    <w:rsid w:val="00B37FC3"/>
    <w:rsid w:val="00B40673"/>
    <w:rsid w:val="00B616DD"/>
    <w:rsid w:val="00B66291"/>
    <w:rsid w:val="00B67998"/>
    <w:rsid w:val="00B742D1"/>
    <w:rsid w:val="00B77875"/>
    <w:rsid w:val="00B84EE5"/>
    <w:rsid w:val="00B94E39"/>
    <w:rsid w:val="00BA1B4D"/>
    <w:rsid w:val="00BA2EA2"/>
    <w:rsid w:val="00BA39C2"/>
    <w:rsid w:val="00BB17B8"/>
    <w:rsid w:val="00BB5F19"/>
    <w:rsid w:val="00BC099C"/>
    <w:rsid w:val="00BC1DBC"/>
    <w:rsid w:val="00BC3484"/>
    <w:rsid w:val="00BC3801"/>
    <w:rsid w:val="00BC6722"/>
    <w:rsid w:val="00BC6ABF"/>
    <w:rsid w:val="00BE3E3F"/>
    <w:rsid w:val="00C033D5"/>
    <w:rsid w:val="00C039C2"/>
    <w:rsid w:val="00C03E16"/>
    <w:rsid w:val="00C13F74"/>
    <w:rsid w:val="00C23898"/>
    <w:rsid w:val="00C24F23"/>
    <w:rsid w:val="00C267A5"/>
    <w:rsid w:val="00C306D7"/>
    <w:rsid w:val="00C31DAC"/>
    <w:rsid w:val="00C349C0"/>
    <w:rsid w:val="00C37A61"/>
    <w:rsid w:val="00C40B25"/>
    <w:rsid w:val="00C46CEB"/>
    <w:rsid w:val="00C60E73"/>
    <w:rsid w:val="00C70453"/>
    <w:rsid w:val="00C74149"/>
    <w:rsid w:val="00C77C6F"/>
    <w:rsid w:val="00C831EA"/>
    <w:rsid w:val="00C92F66"/>
    <w:rsid w:val="00C938BC"/>
    <w:rsid w:val="00C95155"/>
    <w:rsid w:val="00CA6904"/>
    <w:rsid w:val="00CB1BF0"/>
    <w:rsid w:val="00CC559B"/>
    <w:rsid w:val="00CD3A41"/>
    <w:rsid w:val="00CE1E0C"/>
    <w:rsid w:val="00CF439B"/>
    <w:rsid w:val="00D212BE"/>
    <w:rsid w:val="00D2347B"/>
    <w:rsid w:val="00D26F3D"/>
    <w:rsid w:val="00D339FA"/>
    <w:rsid w:val="00D42647"/>
    <w:rsid w:val="00D72220"/>
    <w:rsid w:val="00D81082"/>
    <w:rsid w:val="00D90A4E"/>
    <w:rsid w:val="00D919E0"/>
    <w:rsid w:val="00DA6818"/>
    <w:rsid w:val="00DB264A"/>
    <w:rsid w:val="00DE7C98"/>
    <w:rsid w:val="00E011D0"/>
    <w:rsid w:val="00E014DC"/>
    <w:rsid w:val="00E058B0"/>
    <w:rsid w:val="00E22721"/>
    <w:rsid w:val="00E51B5B"/>
    <w:rsid w:val="00E56D33"/>
    <w:rsid w:val="00E67C35"/>
    <w:rsid w:val="00E95ABF"/>
    <w:rsid w:val="00E97B6F"/>
    <w:rsid w:val="00EA5A56"/>
    <w:rsid w:val="00EB24A5"/>
    <w:rsid w:val="00EC6B1C"/>
    <w:rsid w:val="00EE103F"/>
    <w:rsid w:val="00EE3FEC"/>
    <w:rsid w:val="00EE60E0"/>
    <w:rsid w:val="00EF2890"/>
    <w:rsid w:val="00EF5ACA"/>
    <w:rsid w:val="00F04EB2"/>
    <w:rsid w:val="00F14D8F"/>
    <w:rsid w:val="00F17DC2"/>
    <w:rsid w:val="00F17E2C"/>
    <w:rsid w:val="00F275F8"/>
    <w:rsid w:val="00F31F44"/>
    <w:rsid w:val="00F33D7A"/>
    <w:rsid w:val="00F359BB"/>
    <w:rsid w:val="00F41CD4"/>
    <w:rsid w:val="00F64E65"/>
    <w:rsid w:val="00F82AAE"/>
    <w:rsid w:val="00F94FFE"/>
    <w:rsid w:val="00FA57AF"/>
    <w:rsid w:val="00FB2DF1"/>
    <w:rsid w:val="00FB4501"/>
    <w:rsid w:val="00FC07B2"/>
    <w:rsid w:val="031472F8"/>
    <w:rsid w:val="04522CE3"/>
    <w:rsid w:val="04FC1348"/>
    <w:rsid w:val="050531F4"/>
    <w:rsid w:val="08344320"/>
    <w:rsid w:val="094908CB"/>
    <w:rsid w:val="09665ECD"/>
    <w:rsid w:val="0AF142C5"/>
    <w:rsid w:val="0BB1757E"/>
    <w:rsid w:val="0E372189"/>
    <w:rsid w:val="12251A81"/>
    <w:rsid w:val="12640267"/>
    <w:rsid w:val="149C2DD1"/>
    <w:rsid w:val="16B0772A"/>
    <w:rsid w:val="17431312"/>
    <w:rsid w:val="17526060"/>
    <w:rsid w:val="196106D9"/>
    <w:rsid w:val="19790C9D"/>
    <w:rsid w:val="199B021E"/>
    <w:rsid w:val="1BCF340C"/>
    <w:rsid w:val="1BD3562F"/>
    <w:rsid w:val="1C6C40F3"/>
    <w:rsid w:val="1D2D3883"/>
    <w:rsid w:val="1EE86250"/>
    <w:rsid w:val="20207748"/>
    <w:rsid w:val="202A755A"/>
    <w:rsid w:val="207B25CD"/>
    <w:rsid w:val="20CC5E55"/>
    <w:rsid w:val="222F59A7"/>
    <w:rsid w:val="237A4250"/>
    <w:rsid w:val="250C4236"/>
    <w:rsid w:val="27006E81"/>
    <w:rsid w:val="276428EB"/>
    <w:rsid w:val="286644C6"/>
    <w:rsid w:val="28C5014A"/>
    <w:rsid w:val="29A6124B"/>
    <w:rsid w:val="2E015345"/>
    <w:rsid w:val="2F6534D3"/>
    <w:rsid w:val="2F795F70"/>
    <w:rsid w:val="2FDB003E"/>
    <w:rsid w:val="2FEA5603"/>
    <w:rsid w:val="30D85D9A"/>
    <w:rsid w:val="30FA5544"/>
    <w:rsid w:val="313F527E"/>
    <w:rsid w:val="31CE1FCF"/>
    <w:rsid w:val="34804AE9"/>
    <w:rsid w:val="35DB7CE8"/>
    <w:rsid w:val="38BB14CE"/>
    <w:rsid w:val="3938118D"/>
    <w:rsid w:val="3A925BDA"/>
    <w:rsid w:val="3B541652"/>
    <w:rsid w:val="3CCF3FB6"/>
    <w:rsid w:val="3D154CDA"/>
    <w:rsid w:val="3DC03305"/>
    <w:rsid w:val="3DFB09DB"/>
    <w:rsid w:val="3EE42FD3"/>
    <w:rsid w:val="3F59766C"/>
    <w:rsid w:val="3FDA4A0A"/>
    <w:rsid w:val="446F2548"/>
    <w:rsid w:val="45291DB1"/>
    <w:rsid w:val="45336DDE"/>
    <w:rsid w:val="46474981"/>
    <w:rsid w:val="4812529F"/>
    <w:rsid w:val="48352910"/>
    <w:rsid w:val="49792EC0"/>
    <w:rsid w:val="4A2F2139"/>
    <w:rsid w:val="4A6B3ED9"/>
    <w:rsid w:val="4C1F1B62"/>
    <w:rsid w:val="4C5E135D"/>
    <w:rsid w:val="4C996923"/>
    <w:rsid w:val="4E086182"/>
    <w:rsid w:val="4EC15329"/>
    <w:rsid w:val="4F081120"/>
    <w:rsid w:val="53C50051"/>
    <w:rsid w:val="541C372E"/>
    <w:rsid w:val="54F466EA"/>
    <w:rsid w:val="56561C33"/>
    <w:rsid w:val="569B7E51"/>
    <w:rsid w:val="56DC57FE"/>
    <w:rsid w:val="56EB5639"/>
    <w:rsid w:val="5A0022E4"/>
    <w:rsid w:val="5AD7215D"/>
    <w:rsid w:val="5B41254C"/>
    <w:rsid w:val="5C9C0037"/>
    <w:rsid w:val="5DC34C1A"/>
    <w:rsid w:val="5E8215CF"/>
    <w:rsid w:val="5EF67235"/>
    <w:rsid w:val="60BF3DBF"/>
    <w:rsid w:val="626D15F8"/>
    <w:rsid w:val="62BB0229"/>
    <w:rsid w:val="656A11A8"/>
    <w:rsid w:val="66B007D5"/>
    <w:rsid w:val="679A05D7"/>
    <w:rsid w:val="67AC331C"/>
    <w:rsid w:val="6817628E"/>
    <w:rsid w:val="696D2874"/>
    <w:rsid w:val="6AED32D6"/>
    <w:rsid w:val="6AF063AB"/>
    <w:rsid w:val="6BE446D9"/>
    <w:rsid w:val="6D254FA9"/>
    <w:rsid w:val="6E071A0C"/>
    <w:rsid w:val="6E5A7177"/>
    <w:rsid w:val="6E891568"/>
    <w:rsid w:val="6EBB0130"/>
    <w:rsid w:val="6ED73C49"/>
    <w:rsid w:val="6F650F4B"/>
    <w:rsid w:val="71C6688A"/>
    <w:rsid w:val="78FF0055"/>
    <w:rsid w:val="79010D7A"/>
    <w:rsid w:val="7AC4608F"/>
    <w:rsid w:val="7CE03B4A"/>
    <w:rsid w:val="7E4408AA"/>
    <w:rsid w:val="7E7F5860"/>
    <w:rsid w:val="7E8F758A"/>
    <w:rsid w:val="7F983D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locked="1" w:uiPriority="0" w:qFormat="1"/>
    <w:lsdException w:name="annotation reference"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4A0F14"/>
    <w:pPr>
      <w:widowControl w:val="0"/>
      <w:jc w:val="both"/>
    </w:pPr>
    <w:rPr>
      <w:kern w:val="2"/>
      <w:sz w:val="21"/>
      <w:szCs w:val="24"/>
    </w:rPr>
  </w:style>
  <w:style w:type="paragraph" w:styleId="1">
    <w:name w:val="heading 1"/>
    <w:basedOn w:val="a"/>
    <w:next w:val="a"/>
    <w:link w:val="1Char"/>
    <w:uiPriority w:val="99"/>
    <w:qFormat/>
    <w:rsid w:val="004A0F14"/>
    <w:pPr>
      <w:keepNext/>
      <w:keepLines/>
      <w:spacing w:before="340" w:after="330" w:line="578" w:lineRule="auto"/>
      <w:outlineLvl w:val="0"/>
    </w:pPr>
    <w:rPr>
      <w:b/>
      <w:bCs/>
      <w:kern w:val="44"/>
      <w:sz w:val="44"/>
      <w:szCs w:val="44"/>
    </w:rPr>
  </w:style>
  <w:style w:type="paragraph" w:styleId="2">
    <w:name w:val="heading 2"/>
    <w:basedOn w:val="a"/>
    <w:next w:val="a"/>
    <w:qFormat/>
    <w:locked/>
    <w:rsid w:val="004A0F1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4A0F14"/>
    <w:pPr>
      <w:jc w:val="left"/>
    </w:pPr>
  </w:style>
  <w:style w:type="paragraph" w:styleId="a4">
    <w:name w:val="Body Text"/>
    <w:basedOn w:val="a"/>
    <w:link w:val="Char0"/>
    <w:uiPriority w:val="99"/>
    <w:qFormat/>
    <w:rsid w:val="004A0F14"/>
    <w:pPr>
      <w:autoSpaceDE w:val="0"/>
      <w:autoSpaceDN w:val="0"/>
      <w:spacing w:before="205"/>
      <w:ind w:left="100"/>
      <w:jc w:val="left"/>
    </w:pPr>
    <w:rPr>
      <w:rFonts w:ascii="宋体" w:hAnsi="宋体" w:cs="宋体"/>
      <w:kern w:val="0"/>
      <w:sz w:val="32"/>
      <w:szCs w:val="32"/>
      <w:lang w:eastAsia="en-US"/>
    </w:rPr>
  </w:style>
  <w:style w:type="paragraph" w:styleId="a5">
    <w:name w:val="footer"/>
    <w:basedOn w:val="a"/>
    <w:link w:val="Char1"/>
    <w:uiPriority w:val="99"/>
    <w:qFormat/>
    <w:rsid w:val="004A0F14"/>
    <w:pPr>
      <w:tabs>
        <w:tab w:val="center" w:pos="4153"/>
        <w:tab w:val="right" w:pos="8306"/>
      </w:tabs>
      <w:snapToGrid w:val="0"/>
      <w:jc w:val="left"/>
    </w:pPr>
    <w:rPr>
      <w:sz w:val="18"/>
    </w:rPr>
  </w:style>
  <w:style w:type="paragraph" w:styleId="a6">
    <w:name w:val="header"/>
    <w:basedOn w:val="a"/>
    <w:link w:val="Char2"/>
    <w:uiPriority w:val="99"/>
    <w:qFormat/>
    <w:rsid w:val="004A0F1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3"/>
    <w:uiPriority w:val="99"/>
    <w:semiHidden/>
    <w:unhideWhenUsed/>
    <w:qFormat/>
    <w:rsid w:val="004A0F14"/>
    <w:rPr>
      <w:b/>
      <w:bCs/>
    </w:rPr>
  </w:style>
  <w:style w:type="table" w:styleId="a8">
    <w:name w:val="Table Grid"/>
    <w:basedOn w:val="a1"/>
    <w:uiPriority w:val="39"/>
    <w:qFormat/>
    <w:rsid w:val="004A0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autoRedefine/>
    <w:uiPriority w:val="99"/>
    <w:semiHidden/>
    <w:unhideWhenUsed/>
    <w:qFormat/>
    <w:rsid w:val="004A0F14"/>
    <w:rPr>
      <w:sz w:val="21"/>
      <w:szCs w:val="21"/>
    </w:rPr>
  </w:style>
  <w:style w:type="character" w:customStyle="1" w:styleId="1Char">
    <w:name w:val="标题 1 Char"/>
    <w:link w:val="1"/>
    <w:autoRedefine/>
    <w:uiPriority w:val="9"/>
    <w:qFormat/>
    <w:rsid w:val="004A0F14"/>
    <w:rPr>
      <w:b/>
      <w:bCs/>
      <w:kern w:val="44"/>
      <w:sz w:val="44"/>
      <w:szCs w:val="44"/>
    </w:rPr>
  </w:style>
  <w:style w:type="character" w:customStyle="1" w:styleId="Char0">
    <w:name w:val="正文文本 Char"/>
    <w:link w:val="a4"/>
    <w:autoRedefine/>
    <w:uiPriority w:val="99"/>
    <w:semiHidden/>
    <w:qFormat/>
    <w:rsid w:val="004A0F14"/>
    <w:rPr>
      <w:szCs w:val="24"/>
    </w:rPr>
  </w:style>
  <w:style w:type="character" w:customStyle="1" w:styleId="Char1">
    <w:name w:val="页脚 Char"/>
    <w:link w:val="a5"/>
    <w:autoRedefine/>
    <w:uiPriority w:val="99"/>
    <w:semiHidden/>
    <w:qFormat/>
    <w:rsid w:val="004A0F14"/>
    <w:rPr>
      <w:sz w:val="18"/>
      <w:szCs w:val="18"/>
    </w:rPr>
  </w:style>
  <w:style w:type="character" w:customStyle="1" w:styleId="Char2">
    <w:name w:val="页眉 Char"/>
    <w:link w:val="a6"/>
    <w:autoRedefine/>
    <w:uiPriority w:val="99"/>
    <w:semiHidden/>
    <w:qFormat/>
    <w:rsid w:val="004A0F14"/>
    <w:rPr>
      <w:sz w:val="18"/>
      <w:szCs w:val="18"/>
    </w:rPr>
  </w:style>
  <w:style w:type="paragraph" w:styleId="aa">
    <w:name w:val="List Paragraph"/>
    <w:basedOn w:val="a"/>
    <w:autoRedefine/>
    <w:uiPriority w:val="34"/>
    <w:qFormat/>
    <w:rsid w:val="004A0F14"/>
    <w:pPr>
      <w:ind w:firstLineChars="200" w:firstLine="420"/>
    </w:pPr>
  </w:style>
  <w:style w:type="character" w:customStyle="1" w:styleId="fontstyle01">
    <w:name w:val="fontstyle01"/>
    <w:autoRedefine/>
    <w:uiPriority w:val="99"/>
    <w:qFormat/>
    <w:rsid w:val="004A0F14"/>
    <w:rPr>
      <w:rFonts w:ascii="仿宋_GB2312" w:eastAsia="仿宋_GB2312" w:cs="Times New Roman"/>
      <w:color w:val="000000"/>
      <w:sz w:val="32"/>
      <w:szCs w:val="32"/>
    </w:rPr>
  </w:style>
  <w:style w:type="character" w:customStyle="1" w:styleId="fontstyle21">
    <w:name w:val="fontstyle21"/>
    <w:autoRedefine/>
    <w:uiPriority w:val="99"/>
    <w:qFormat/>
    <w:rsid w:val="004A0F14"/>
    <w:rPr>
      <w:rFonts w:ascii="TimesNewRomanPSMT" w:hAnsi="TimesNewRomanPSMT" w:cs="Times New Roman"/>
      <w:color w:val="000000"/>
      <w:sz w:val="32"/>
      <w:szCs w:val="32"/>
    </w:rPr>
  </w:style>
  <w:style w:type="table" w:customStyle="1" w:styleId="10">
    <w:name w:val="网格型1"/>
    <w:basedOn w:val="a1"/>
    <w:autoRedefine/>
    <w:uiPriority w:val="39"/>
    <w:qFormat/>
    <w:rsid w:val="004A0F14"/>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autoRedefine/>
    <w:uiPriority w:val="39"/>
    <w:qFormat/>
    <w:rsid w:val="004A0F14"/>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autoRedefine/>
    <w:uiPriority w:val="99"/>
    <w:semiHidden/>
    <w:qFormat/>
    <w:rsid w:val="004A0F14"/>
    <w:rPr>
      <w:kern w:val="2"/>
      <w:sz w:val="21"/>
      <w:szCs w:val="24"/>
    </w:rPr>
  </w:style>
  <w:style w:type="character" w:customStyle="1" w:styleId="Char3">
    <w:name w:val="批注主题 Char"/>
    <w:basedOn w:val="Char"/>
    <w:link w:val="a7"/>
    <w:autoRedefine/>
    <w:uiPriority w:val="99"/>
    <w:semiHidden/>
    <w:qFormat/>
    <w:rsid w:val="004A0F14"/>
    <w:rPr>
      <w:b/>
      <w:bCs/>
      <w:kern w:val="2"/>
      <w:sz w:val="21"/>
      <w:szCs w:val="24"/>
    </w:rPr>
  </w:style>
  <w:style w:type="paragraph" w:customStyle="1" w:styleId="11">
    <w:name w:val="修订1"/>
    <w:hidden/>
    <w:uiPriority w:val="99"/>
    <w:semiHidden/>
    <w:qFormat/>
    <w:rsid w:val="004A0F14"/>
    <w:rPr>
      <w:kern w:val="2"/>
      <w:sz w:val="21"/>
      <w:szCs w:val="24"/>
    </w:rPr>
  </w:style>
  <w:style w:type="character" w:customStyle="1" w:styleId="font31">
    <w:name w:val="font31"/>
    <w:basedOn w:val="a0"/>
    <w:autoRedefine/>
    <w:qFormat/>
    <w:rsid w:val="004A0F14"/>
    <w:rPr>
      <w:rFonts w:ascii="仿宋_GB2312" w:eastAsia="仿宋_GB2312" w:cs="仿宋_GB2312" w:hint="eastAsia"/>
      <w:color w:val="000000"/>
      <w:sz w:val="22"/>
      <w:szCs w:val="22"/>
      <w:u w:val="none"/>
    </w:rPr>
  </w:style>
  <w:style w:type="character" w:customStyle="1" w:styleId="font41">
    <w:name w:val="font41"/>
    <w:basedOn w:val="a0"/>
    <w:autoRedefine/>
    <w:qFormat/>
    <w:rsid w:val="004A0F14"/>
    <w:rPr>
      <w:rFonts w:ascii="Times New Roman" w:hAnsi="Times New Roman" w:cs="Times New Roman" w:hint="default"/>
      <w:color w:val="000000"/>
      <w:sz w:val="22"/>
      <w:szCs w:val="22"/>
      <w:u w:val="none"/>
    </w:rPr>
  </w:style>
  <w:style w:type="character" w:customStyle="1" w:styleId="font51">
    <w:name w:val="font51"/>
    <w:basedOn w:val="a0"/>
    <w:autoRedefine/>
    <w:qFormat/>
    <w:rsid w:val="004A0F14"/>
    <w:rPr>
      <w:rFonts w:ascii="仿宋_GB2312" w:eastAsia="仿宋_GB2312" w:cs="仿宋_GB2312" w:hint="eastAsia"/>
      <w:color w:val="000000"/>
      <w:sz w:val="21"/>
      <w:szCs w:val="21"/>
      <w:u w:val="none"/>
    </w:rPr>
  </w:style>
  <w:style w:type="character" w:customStyle="1" w:styleId="font21">
    <w:name w:val="font21"/>
    <w:basedOn w:val="a0"/>
    <w:autoRedefine/>
    <w:qFormat/>
    <w:rsid w:val="004A0F14"/>
    <w:rPr>
      <w:rFonts w:ascii="Times New Roman" w:hAnsi="Times New Roman" w:cs="Times New Roman" w:hint="default"/>
      <w:color w:val="000000"/>
      <w:sz w:val="22"/>
      <w:szCs w:val="22"/>
      <w:u w:val="none"/>
    </w:rPr>
  </w:style>
  <w:style w:type="character" w:customStyle="1" w:styleId="font01">
    <w:name w:val="font01"/>
    <w:basedOn w:val="a0"/>
    <w:autoRedefine/>
    <w:qFormat/>
    <w:rsid w:val="004A0F14"/>
    <w:rPr>
      <w:rFonts w:ascii="宋体" w:eastAsia="宋体" w:hAnsi="宋体" w:cs="宋体" w:hint="eastAsia"/>
      <w:color w:val="000000"/>
      <w:sz w:val="22"/>
      <w:szCs w:val="22"/>
      <w:u w:val="none"/>
    </w:rPr>
  </w:style>
  <w:style w:type="character" w:customStyle="1" w:styleId="font11">
    <w:name w:val="font11"/>
    <w:basedOn w:val="a0"/>
    <w:autoRedefine/>
    <w:qFormat/>
    <w:rsid w:val="004A0F14"/>
    <w:rPr>
      <w:rFonts w:ascii="Times New Roman" w:hAnsi="Times New Roman" w:cs="Times New Roman" w:hint="default"/>
      <w:color w:val="000000"/>
      <w:sz w:val="22"/>
      <w:szCs w:val="22"/>
      <w:u w:val="none"/>
    </w:rPr>
  </w:style>
  <w:style w:type="character" w:customStyle="1" w:styleId="font71">
    <w:name w:val="font71"/>
    <w:basedOn w:val="a0"/>
    <w:autoRedefine/>
    <w:qFormat/>
    <w:rsid w:val="004A0F14"/>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5274F-298A-4C7F-8DA2-A30CBAAF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788</Words>
  <Characters>4495</Characters>
  <Application>Microsoft Office Word</Application>
  <DocSecurity>0</DocSecurity>
  <Lines>37</Lines>
  <Paragraphs>10</Paragraphs>
  <ScaleCrop>false</ScaleCrop>
  <Company>Microsoft</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茂名市电白区水东片区土地征收成片开发方案（公示草案）</dc:title>
  <dc:creator>living</dc:creator>
  <cp:lastModifiedBy>Admin</cp:lastModifiedBy>
  <cp:revision>25</cp:revision>
  <cp:lastPrinted>2023-07-19T02:14:00Z</cp:lastPrinted>
  <dcterms:created xsi:type="dcterms:W3CDTF">2023-07-09T07:23:00Z</dcterms:created>
  <dcterms:modified xsi:type="dcterms:W3CDTF">2024-03-08T07:57:00Z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85B08BDE5C2E4B8CA65A3B9E54B4E1E8_13</vt:lpwstr>
  </property>
</Properties>
</file>