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477C">
      <w:pPr>
        <w:jc w:val="center"/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40"/>
          <w:szCs w:val="40"/>
          <w:lang w:val="en-US" w:eastAsia="zh-CN"/>
        </w:rPr>
        <w:t>月粮情动态</w:t>
      </w:r>
    </w:p>
    <w:p w14:paraId="704B92CA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普宁市发展和改革局                  2025年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021BEEBB"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83E497"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一、本地粮食市场动态</w:t>
      </w:r>
    </w:p>
    <w:p w14:paraId="63B62EDE">
      <w:pPr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月份，我市粮油市场购销价格月环比、同比小幅波动。</w:t>
      </w:r>
    </w:p>
    <w:tbl>
      <w:tblPr>
        <w:tblStyle w:val="3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625"/>
        <w:gridCol w:w="638"/>
        <w:gridCol w:w="625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 w14:paraId="076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月粮油购销价格涨跌情况</w:t>
            </w:r>
          </w:p>
        </w:tc>
      </w:tr>
      <w:tr w14:paraId="3CC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A0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C0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F7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7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5D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0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28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30F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4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90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3D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4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83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C1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 w14:paraId="40E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D7C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 w14:paraId="7F41CA23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 w14:paraId="20C3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D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 w14:paraId="5BE2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14.02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9.39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14.49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9.87 </w:t>
            </w:r>
          </w:p>
        </w:tc>
      </w:tr>
      <w:tr w14:paraId="3BD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</w:tr>
      <w:tr w14:paraId="7E7B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-0.06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-0.09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-0.12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-0.06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</w:tr>
      <w:tr w14:paraId="3BB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 w14:paraId="6FCC78CD">
      <w:pPr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3AD3A689">
      <w:pPr>
        <w:numPr>
          <w:ilvl w:val="0"/>
          <w:numId w:val="1"/>
        </w:num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主产区粮食市场动态</w:t>
      </w:r>
    </w:p>
    <w:p w14:paraId="447C9678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5277D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4月份国内主产区稻米市场价格小幅波动。早籼稻出库价月环比持平，同比下降1.44%;中籼稻出库价月环比上涨0.10%，同比下降6.56%;晚籼稻出库价月环比上涨 0.66%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同比下降 6.11%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晚粳稻出库价月环比下降0.24%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同比下降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1.66%。早籼米批发价月环比上涨 0.07，同比上涨 0.43%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中籼米批发价月环比下降0.22%，同比下降1.35%;晚籼米批发价月环比下降0.02%，同比下降3.92%;晚粳米批发价月环比下降0.05%，同比下降1.24%。</w:t>
      </w:r>
    </w:p>
    <w:p w14:paraId="47060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本月小麦、玉米市场价格小幅上涨。三等小麦(混麦)出库价月环比上涨0.77%，同比下降5.91%;二等玉米出库价月环比上涨 2.60%，同比上涨 1.53%。</w:t>
      </w:r>
    </w:p>
    <w:p w14:paraId="29241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截至4月30日，全国各类粮食经营主体累计收购2024</w:t>
      </w:r>
    </w:p>
    <w:p w14:paraId="065B5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年度秋粮 34506万吨。至此，2024年度秋粮旺季收购工作圆满收官。</w:t>
      </w:r>
    </w:p>
    <w:p w14:paraId="76614F92">
      <w:pPr>
        <w:pStyle w:val="2"/>
        <w:spacing w:before="47" w:line="307" w:lineRule="auto"/>
        <w:ind w:left="175" w:right="100" w:firstLine="639"/>
        <w:jc w:val="left"/>
        <w:rPr>
          <w:rFonts w:hint="default" w:ascii="Times New Roman" w:hAnsi="Times New Roman" w:cs="Times New Roman"/>
          <w:spacing w:val="-13"/>
          <w:shd w:val="clear" w:color="FFFFFF" w:fill="D9D9D9"/>
        </w:rPr>
      </w:pPr>
    </w:p>
    <w:p w14:paraId="5F2F5966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国际粮食市场动态</w:t>
      </w:r>
    </w:p>
    <w:p w14:paraId="389D0494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23F4FAAC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本月泰国、印度大米出口价格下降，越南大米出口价格持平。泰国大米5分米(5%的碎米率)价格月环比下降1.64%，同比下降 35.29%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越南大米5分米(5%的碎米率)价格月环比持平，同比下降 32.71%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印度大米5分米(5%的碎米率)价格月环比下降6.17%。</w:t>
      </w:r>
    </w:p>
    <w:p w14:paraId="5EBB1A2E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438A">
    <w:pPr>
      <w:spacing w:line="177" w:lineRule="auto"/>
      <w:ind w:left="416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0F31774"/>
    <w:rsid w:val="01B00F9E"/>
    <w:rsid w:val="024A1251"/>
    <w:rsid w:val="03C574F9"/>
    <w:rsid w:val="070954E4"/>
    <w:rsid w:val="0D5C5A66"/>
    <w:rsid w:val="0D9746A7"/>
    <w:rsid w:val="0EC2164B"/>
    <w:rsid w:val="0F961FA7"/>
    <w:rsid w:val="10E5213A"/>
    <w:rsid w:val="11582D09"/>
    <w:rsid w:val="124D3387"/>
    <w:rsid w:val="14D40957"/>
    <w:rsid w:val="15431848"/>
    <w:rsid w:val="18D91812"/>
    <w:rsid w:val="1B9E5DA3"/>
    <w:rsid w:val="1E5E32EF"/>
    <w:rsid w:val="1EC04283"/>
    <w:rsid w:val="201178DE"/>
    <w:rsid w:val="2244176C"/>
    <w:rsid w:val="27D36DD5"/>
    <w:rsid w:val="27E4199E"/>
    <w:rsid w:val="289949CB"/>
    <w:rsid w:val="28E55011"/>
    <w:rsid w:val="2AFF240D"/>
    <w:rsid w:val="2E987DAD"/>
    <w:rsid w:val="2F6A44C2"/>
    <w:rsid w:val="30136C35"/>
    <w:rsid w:val="3091003D"/>
    <w:rsid w:val="3414504A"/>
    <w:rsid w:val="3ADE58CF"/>
    <w:rsid w:val="3CA81D3D"/>
    <w:rsid w:val="3CF32DC3"/>
    <w:rsid w:val="3EB600F1"/>
    <w:rsid w:val="4012770F"/>
    <w:rsid w:val="4052464F"/>
    <w:rsid w:val="406861BB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672943"/>
    <w:rsid w:val="53D66759"/>
    <w:rsid w:val="53F229C4"/>
    <w:rsid w:val="55DF4A13"/>
    <w:rsid w:val="565E627F"/>
    <w:rsid w:val="56C7562B"/>
    <w:rsid w:val="56CA69D1"/>
    <w:rsid w:val="578C4726"/>
    <w:rsid w:val="58FC2877"/>
    <w:rsid w:val="5A3A4B0F"/>
    <w:rsid w:val="5A4E1615"/>
    <w:rsid w:val="5B9D42DA"/>
    <w:rsid w:val="5E150FCC"/>
    <w:rsid w:val="5E911E95"/>
    <w:rsid w:val="5ECE3ECD"/>
    <w:rsid w:val="5FA743B6"/>
    <w:rsid w:val="60120996"/>
    <w:rsid w:val="63580436"/>
    <w:rsid w:val="685077A6"/>
    <w:rsid w:val="6C73641C"/>
    <w:rsid w:val="6DC96097"/>
    <w:rsid w:val="6EDF260E"/>
    <w:rsid w:val="6EFB5511"/>
    <w:rsid w:val="6FD904E5"/>
    <w:rsid w:val="708E6BD5"/>
    <w:rsid w:val="73BF4BC2"/>
    <w:rsid w:val="7416564C"/>
    <w:rsid w:val="75864FE2"/>
    <w:rsid w:val="76072441"/>
    <w:rsid w:val="7BA63759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887</Characters>
  <Lines>0</Lines>
  <Paragraphs>0</Paragraphs>
  <TotalTime>17</TotalTime>
  <ScaleCrop>false</ScaleCrop>
  <LinksUpToDate>false</LinksUpToDate>
  <CharactersWithSpaces>974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Administrator</cp:lastModifiedBy>
  <cp:lastPrinted>2025-03-24T02:48:00Z</cp:lastPrinted>
  <dcterms:modified xsi:type="dcterms:W3CDTF">2025-06-30T08:24:35Z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B356C76915134B688EA17AC13E93DCBB_13</vt:lpwstr>
  </property>
  <property fmtid="{D5CDD505-2E9C-101B-9397-08002B2CF9AE}" pid="4" name="KSOTemplateDocerSaveRecord">
    <vt:lpwstr>eyJoZGlkIjoiYzBmMGFmMjQ3ZGY0YThhNzY4OGE4OTE0NDIzY2ZjNWIifQ==</vt:lpwstr>
  </property>
</Properties>
</file>