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B9AD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关于做好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2025年度党报党刊发行工作的通知</w:t>
      </w:r>
    </w:p>
    <w:p w14:paraId="70867B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 w14:paraId="5F271D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各村（居）委会：</w:t>
      </w:r>
    </w:p>
    <w:p w14:paraId="615EBE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《南方日报》《南方》杂志、《揭阳日报》等党报党刊，是省委、揭阳市委和普宁市委指导工作的重要舆论阵地。各地要采取灵活有效的措施，切实提高发行服务质量，扩大党报党刊征订发行覆盖面。</w:t>
      </w:r>
    </w:p>
    <w:p w14:paraId="5FA8543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重点党报党刊征订工作要确保在12月20日前全部完成。</w:t>
      </w:r>
    </w:p>
    <w:p w14:paraId="54F0DE4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附件：大坪农场2025年度党报党刊征订参考表</w:t>
      </w:r>
    </w:p>
    <w:p w14:paraId="447601DF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3D010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4A8C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广东农垦大坪农场有限公司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0EBA28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2025年12月11日      </w:t>
      </w:r>
    </w:p>
    <w:p w14:paraId="15B47617"/>
    <w:p w14:paraId="1AB6342E">
      <w:pPr>
        <w:pStyle w:val="2"/>
      </w:pPr>
    </w:p>
    <w:p w14:paraId="49F8E342"/>
    <w:p w14:paraId="39CB324E">
      <w:pPr>
        <w:pStyle w:val="2"/>
      </w:pPr>
    </w:p>
    <w:p w14:paraId="0D40FD3D"/>
    <w:p w14:paraId="3C69CE7B">
      <w:pPr>
        <w:pStyle w:val="2"/>
      </w:pPr>
    </w:p>
    <w:p w14:paraId="32329E13"/>
    <w:p w14:paraId="4435680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大坪农场2025年度党报党刊征订参考表</w:t>
      </w:r>
    </w:p>
    <w:p w14:paraId="1FDC62E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5"/>
        <w:gridCol w:w="2355"/>
        <w:gridCol w:w="2355"/>
      </w:tblGrid>
      <w:tr w14:paraId="1CB4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54" w:type="dxa"/>
            <w:vAlign w:val="center"/>
          </w:tcPr>
          <w:p w14:paraId="0C1F549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355" w:type="dxa"/>
            <w:vAlign w:val="center"/>
          </w:tcPr>
          <w:p w14:paraId="3D4D2E4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南方日报</w:t>
            </w:r>
          </w:p>
        </w:tc>
        <w:tc>
          <w:tcPr>
            <w:tcW w:w="2355" w:type="dxa"/>
            <w:vAlign w:val="center"/>
          </w:tcPr>
          <w:p w14:paraId="27A2187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南方杂志</w:t>
            </w:r>
          </w:p>
        </w:tc>
        <w:tc>
          <w:tcPr>
            <w:tcW w:w="2355" w:type="dxa"/>
            <w:vAlign w:val="center"/>
          </w:tcPr>
          <w:p w14:paraId="479504A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揭阳日报</w:t>
            </w:r>
          </w:p>
        </w:tc>
      </w:tr>
      <w:tr w14:paraId="6F9C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54" w:type="dxa"/>
            <w:vAlign w:val="center"/>
          </w:tcPr>
          <w:p w14:paraId="4D2EC83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梅星居委</w:t>
            </w:r>
          </w:p>
        </w:tc>
        <w:tc>
          <w:tcPr>
            <w:tcW w:w="2355" w:type="dxa"/>
            <w:vAlign w:val="center"/>
          </w:tcPr>
          <w:p w14:paraId="16536E3B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34FF5359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2433524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3D6B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54" w:type="dxa"/>
            <w:vAlign w:val="center"/>
          </w:tcPr>
          <w:p w14:paraId="5D8AB88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大坪尾村</w:t>
            </w:r>
          </w:p>
        </w:tc>
        <w:tc>
          <w:tcPr>
            <w:tcW w:w="2355" w:type="dxa"/>
            <w:vAlign w:val="center"/>
          </w:tcPr>
          <w:p w14:paraId="2C3E004C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615F391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08663BB3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5F28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54" w:type="dxa"/>
            <w:vAlign w:val="center"/>
          </w:tcPr>
          <w:p w14:paraId="5992285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桐树下村</w:t>
            </w:r>
          </w:p>
        </w:tc>
        <w:tc>
          <w:tcPr>
            <w:tcW w:w="2355" w:type="dxa"/>
            <w:vAlign w:val="center"/>
          </w:tcPr>
          <w:p w14:paraId="51FF4563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0F36BA99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55" w:type="dxa"/>
            <w:vAlign w:val="center"/>
          </w:tcPr>
          <w:p w14:paraId="5607FE7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1287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54" w:type="dxa"/>
            <w:vAlign w:val="center"/>
          </w:tcPr>
          <w:p w14:paraId="26148309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凉亭村</w:t>
            </w:r>
          </w:p>
        </w:tc>
        <w:tc>
          <w:tcPr>
            <w:tcW w:w="2355" w:type="dxa"/>
            <w:vAlign w:val="center"/>
          </w:tcPr>
          <w:p w14:paraId="21504736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7B2EC41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74DC7827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3F2C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354" w:type="dxa"/>
            <w:vAlign w:val="center"/>
          </w:tcPr>
          <w:p w14:paraId="7CFA6E5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石镜美村</w:t>
            </w:r>
          </w:p>
        </w:tc>
        <w:tc>
          <w:tcPr>
            <w:tcW w:w="2355" w:type="dxa"/>
            <w:vAlign w:val="center"/>
          </w:tcPr>
          <w:p w14:paraId="1EC0365F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1178326D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55" w:type="dxa"/>
            <w:vAlign w:val="center"/>
          </w:tcPr>
          <w:p w14:paraId="60B6A54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</w:tbl>
    <w:p w14:paraId="7F5B4178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D6B2F3"/>
    <w:p w14:paraId="4A2C1DA2">
      <w:pPr>
        <w:pStyle w:val="2"/>
      </w:pPr>
      <w:bookmarkStart w:id="0" w:name="_GoBack"/>
      <w:bookmarkEnd w:id="0"/>
    </w:p>
    <w:p w14:paraId="169ACFEC"/>
    <w:p w14:paraId="7D41C4F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74E06"/>
    <w:rsid w:val="6D6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/>
      <w:outlineLvl w:val="1"/>
    </w:pPr>
    <w:rPr>
      <w:rFonts w:ascii="Times New Roman" w:hAnsi="Times New Roman" w:eastAsia="微软雅黑" w:cs="Times New Roman"/>
      <w:b/>
      <w:bCs/>
      <w:kern w:val="0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hd w:val="clear" w:color="auto" w:fill="FFFFFF"/>
      <w:spacing w:line="360" w:lineRule="auto"/>
      <w:ind w:firstLine="600" w:firstLineChars="200"/>
      <w:jc w:val="left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2025-12-12T00:56:00Z</dcterms:created>
  <dc:creator>Administrator</dc:creator>
  <cp:lastModifiedBy>Administrator</cp:lastModifiedBy>
  <dcterms:modified xsi:type="dcterms:W3CDTF">2025-12-12T00:56:37Z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5D2603F952D841518F94FE02DB68EA24_11</vt:lpwstr>
  </property>
  <property fmtid="{D5CDD505-2E9C-101B-9397-08002B2CF9AE}" pid="4" name="KSOTemplateDocerSaveRecord">
    <vt:lpwstr>eyJoZGlkIjoiYTI2MWU3MjMzZTVhOTUyYzVlZDQ5ZmQzODdiZjkwMDEifQ==</vt:lpwstr>
  </property>
</Properties>
</file>