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3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85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表5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85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方正小标宋简体"/>
                <w:sz w:val="36"/>
                <w:szCs w:val="36"/>
              </w:rPr>
            </w:pPr>
            <w:bookmarkStart w:id="0" w:name="PO_part2Table5Area1"/>
            <w:r>
              <w:rPr>
                <w:rFonts w:hint="eastAsia" w:ascii="宋体" w:hAnsi="宋体" w:cs="宋体"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36"/>
                <w:szCs w:val="36"/>
              </w:rPr>
              <w:t>202</w:t>
            </w:r>
            <w:bookmarkEnd w:id="0"/>
            <w:r>
              <w:rPr>
                <w:rFonts w:hint="eastAsia" w:ascii="黑体" w:hAnsi="黑体" w:eastAsia="黑体" w:cs="黑体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黑体" w:hAnsi="黑体" w:eastAsia="黑体" w:cs="方正小标宋简体"/>
                <w:kern w:val="0"/>
                <w:sz w:val="36"/>
                <w:szCs w:val="36"/>
              </w:rPr>
              <w:t>年</w:t>
            </w:r>
            <w:bookmarkStart w:id="1" w:name="PO_part2Table5Area2"/>
            <w:r>
              <w:rPr>
                <w:rFonts w:hint="eastAsia" w:ascii="黑体" w:hAnsi="黑体" w:eastAsia="黑体" w:cs="方正小标宋简体"/>
                <w:kern w:val="0"/>
                <w:sz w:val="36"/>
                <w:szCs w:val="36"/>
                <w:lang w:eastAsia="zh-CN"/>
              </w:rPr>
              <w:t>普宁</w:t>
            </w:r>
            <w:r>
              <w:rPr>
                <w:rFonts w:hint="eastAsia" w:ascii="黑体" w:hAnsi="黑体" w:eastAsia="黑体" w:cs="方正小标宋简体"/>
                <w:kern w:val="0"/>
                <w:sz w:val="36"/>
                <w:szCs w:val="36"/>
              </w:rPr>
              <w:t>市本级</w:t>
            </w:r>
            <w:r>
              <w:rPr>
                <w:rFonts w:hint="eastAsia" w:ascii="黑体" w:hAnsi="黑体" w:eastAsia="黑体" w:cs="方正小标宋简体"/>
                <w:kern w:val="0"/>
                <w:sz w:val="11"/>
                <w:szCs w:val="11"/>
              </w:rPr>
              <w:t xml:space="preserve"> </w:t>
            </w:r>
            <w:bookmarkEnd w:id="1"/>
            <w:r>
              <w:rPr>
                <w:rFonts w:hint="eastAsia" w:ascii="黑体" w:hAnsi="黑体" w:eastAsia="黑体" w:cs="方正小标宋简体"/>
                <w:kern w:val="0"/>
                <w:sz w:val="36"/>
                <w:szCs w:val="36"/>
              </w:rPr>
              <w:t>一般公共预算“三公”经费表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8522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黑体" w:hAnsi="黑体" w:eastAsia="黑体" w:cs="宋体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2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预算数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   “三公”经费</w:t>
            </w:r>
          </w:p>
        </w:tc>
        <w:tc>
          <w:tcPr>
            <w:tcW w:w="2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宋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1895.00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       其中：（一）因公出国（境）费用</w:t>
            </w:r>
          </w:p>
        </w:tc>
        <w:tc>
          <w:tcPr>
            <w:tcW w:w="2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Calibri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             （二）公务用车购置及运行维护支出</w:t>
            </w:r>
          </w:p>
        </w:tc>
        <w:tc>
          <w:tcPr>
            <w:tcW w:w="2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Calibri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                   1.公务用车购置</w:t>
            </w:r>
          </w:p>
        </w:tc>
        <w:tc>
          <w:tcPr>
            <w:tcW w:w="2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Calibri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                   2.公务用车运行维护费</w:t>
            </w:r>
          </w:p>
        </w:tc>
        <w:tc>
          <w:tcPr>
            <w:tcW w:w="2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宋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             （三）公务接待费</w:t>
            </w:r>
          </w:p>
        </w:tc>
        <w:tc>
          <w:tcPr>
            <w:tcW w:w="2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黑体" w:eastAsia="黑体" w:cs="宋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 </w:t>
            </w:r>
          </w:p>
        </w:tc>
      </w:tr>
    </w:tbl>
    <w:p>
      <w:pPr>
        <w:rPr>
          <w:rFonts w:hint="eastAsia" w:ascii="黑体" w:hAnsi="黑体" w:eastAsia="黑体" w:cs="宋体"/>
          <w:kern w:val="0"/>
          <w:sz w:val="24"/>
          <w:lang w:bidi="ar"/>
        </w:rPr>
      </w:pPr>
      <w:r>
        <w:rPr>
          <w:rFonts w:hint="eastAsia" w:ascii="黑体" w:hAnsi="黑体" w:eastAsia="黑体" w:cs="宋体"/>
          <w:kern w:val="0"/>
          <w:sz w:val="20"/>
          <w:szCs w:val="20"/>
          <w:lang w:bidi="ar"/>
        </w:rPr>
        <w:t>备注:本级一般公共预算中安排的“三公”经费是指部门预算基本支出及项目支出中安排的因公出国（境）支出、公务用车购置及运行维护支出和公务接待费支出。</w:t>
      </w:r>
      <w:r>
        <w:rPr>
          <w:rFonts w:hint="eastAsia" w:ascii="黑体" w:hAnsi="黑体" w:eastAsia="黑体" w:cs="宋体"/>
          <w:kern w:val="0"/>
          <w:sz w:val="24"/>
          <w:lang w:bidi="ar"/>
        </w:rPr>
        <w:t xml:space="preserve">  </w:t>
      </w:r>
    </w:p>
    <w:p>
      <w:pPr>
        <w:rPr>
          <w:rFonts w:hint="eastAsia" w:ascii="黑体" w:hAnsi="黑体" w:eastAsia="黑体" w:cs="宋体"/>
          <w:kern w:val="0"/>
          <w:sz w:val="24"/>
          <w:lang w:bidi="ar"/>
        </w:rPr>
      </w:pPr>
      <w:r>
        <w:rPr>
          <w:rFonts w:hint="eastAsia" w:ascii="黑体" w:hAnsi="黑体" w:eastAsia="黑体" w:cs="宋体"/>
          <w:kern w:val="0"/>
          <w:sz w:val="24"/>
          <w:lang w:bidi="ar"/>
        </w:rPr>
        <w:br w:type="page"/>
      </w:r>
    </w:p>
    <w:p>
      <w:pPr>
        <w:jc w:val="center"/>
        <w:rPr>
          <w:rFonts w:hint="eastAsia" w:ascii="黑体" w:hAnsi="黑体" w:eastAsia="黑体" w:cs="等线 Light"/>
          <w:b/>
          <w:bCs/>
          <w:sz w:val="36"/>
          <w:szCs w:val="36"/>
        </w:rPr>
      </w:pPr>
      <w:r>
        <w:rPr>
          <w:rFonts w:hint="eastAsia" w:ascii="黑体" w:hAnsi="黑体" w:eastAsia="黑体" w:cs="等线 Light"/>
          <w:b/>
          <w:bCs/>
          <w:sz w:val="36"/>
          <w:szCs w:val="36"/>
        </w:rPr>
        <w:t>关于</w:t>
      </w:r>
      <w:bookmarkStart w:id="2" w:name="PO_part2PublicTitle_Year"/>
      <w:r>
        <w:rPr>
          <w:rFonts w:hint="eastAsia" w:ascii="黑体" w:hAnsi="黑体" w:eastAsia="黑体" w:cs="方正小标宋简体"/>
          <w:b/>
          <w:kern w:val="0"/>
          <w:sz w:val="36"/>
          <w:szCs w:val="36"/>
          <w:lang w:bidi="ar"/>
        </w:rPr>
        <w:t>202</w:t>
      </w:r>
      <w:bookmarkEnd w:id="2"/>
      <w:r>
        <w:rPr>
          <w:rFonts w:hint="eastAsia" w:ascii="黑体" w:hAnsi="黑体" w:eastAsia="黑体" w:cs="方正小标宋简体"/>
          <w:b/>
          <w:kern w:val="0"/>
          <w:sz w:val="36"/>
          <w:szCs w:val="36"/>
          <w:lang w:val="en-US" w:eastAsia="zh-CN" w:bidi="ar"/>
        </w:rPr>
        <w:t>6</w:t>
      </w:r>
      <w:r>
        <w:rPr>
          <w:rFonts w:hint="eastAsia" w:ascii="黑体" w:hAnsi="黑体" w:eastAsia="黑体" w:cs="等线 Light"/>
          <w:b/>
          <w:bCs/>
          <w:sz w:val="36"/>
          <w:szCs w:val="36"/>
        </w:rPr>
        <w:t>年</w:t>
      </w:r>
      <w:bookmarkStart w:id="3" w:name="PO_part2PublicTitle_Org"/>
      <w:r>
        <w:rPr>
          <w:rFonts w:hint="eastAsia" w:ascii="黑体" w:hAnsi="黑体" w:eastAsia="黑体" w:cs="等线 Light"/>
          <w:b/>
          <w:bCs/>
          <w:sz w:val="36"/>
          <w:szCs w:val="36"/>
          <w:lang w:eastAsia="zh-CN"/>
        </w:rPr>
        <w:t>普宁</w:t>
      </w:r>
      <w:r>
        <w:rPr>
          <w:rFonts w:hint="eastAsia" w:ascii="黑体" w:hAnsi="黑体" w:eastAsia="黑体" w:cs="等线 Light"/>
          <w:b/>
          <w:bCs/>
          <w:sz w:val="36"/>
          <w:szCs w:val="36"/>
        </w:rPr>
        <w:t>市本级</w:t>
      </w:r>
      <w:r>
        <w:rPr>
          <w:rFonts w:hint="eastAsia" w:ascii="黑体" w:hAnsi="黑体" w:eastAsia="黑体" w:cs="等线 Light"/>
          <w:b/>
          <w:bCs/>
          <w:sz w:val="11"/>
          <w:szCs w:val="11"/>
        </w:rPr>
        <w:t xml:space="preserve"> </w:t>
      </w:r>
      <w:bookmarkEnd w:id="3"/>
      <w:r>
        <w:rPr>
          <w:rFonts w:hint="eastAsia" w:ascii="黑体" w:hAnsi="黑体" w:eastAsia="黑体" w:cs="等线 Light"/>
          <w:b/>
          <w:bCs/>
          <w:sz w:val="36"/>
          <w:szCs w:val="36"/>
        </w:rPr>
        <w:t>一般公共预算“三公”经费安排及变动情况的说明</w:t>
      </w:r>
    </w:p>
    <w:p>
      <w:pPr>
        <w:keepNext w:val="0"/>
        <w:keepLines w:val="0"/>
        <w:widowControl/>
        <w:suppressLineNumbers w:val="0"/>
        <w:ind w:firstLine="668" w:firstLineChars="200"/>
        <w:jc w:val="left"/>
        <w:rPr>
          <w:rFonts w:hint="eastAsia" w:ascii="仿宋" w:hAnsi="仿宋" w:eastAsia="仿宋" w:cs="仿宋"/>
          <w:i w:val="0"/>
          <w:caps w:val="0"/>
          <w:color w:val="525252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F06061"/>
          <w:spacing w:val="7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" w:hAnsi="仿宋" w:eastAsia="仿宋" w:cs="仿宋"/>
          <w:i w:val="0"/>
          <w:caps w:val="0"/>
          <w:color w:val="525252"/>
          <w:spacing w:val="7"/>
          <w:kern w:val="0"/>
          <w:sz w:val="32"/>
          <w:szCs w:val="32"/>
          <w:lang w:val="en-US" w:eastAsia="zh-CN" w:bidi="ar"/>
        </w:rPr>
        <w:t>年本级财政拨款安排“三公”经费1895万元，比上年减少235万元，原因是2026年各部门（单位）严格落实过“紧日子”要求，严格按照中央八项规定的要求、厉行节约，严控“三公”经费支出。其中：因公出国（境）支出95万元，比上年减少5万元，原因是2026年市委市政府出国访问等行程预计减少；公务用车购置及运行维护支出1300万元元（公务用车购置费200万元，比上年减少30万元；公务用车运行维护费1100万元，比上年减少100万元。）比上年减少130万元，原因是厉行节约，压减各部门公车运行维护费支出；公务接待费支出500万元，比上年减少100万元，原因是按要求严控接待标准，精简公务活动</w:t>
      </w:r>
      <w:bookmarkStart w:id="4" w:name="_GoBack"/>
      <w:bookmarkEnd w:id="4"/>
      <w:r>
        <w:rPr>
          <w:rFonts w:hint="eastAsia" w:ascii="仿宋" w:hAnsi="仿宋" w:eastAsia="仿宋" w:cs="仿宋"/>
          <w:i w:val="0"/>
          <w:caps w:val="0"/>
          <w:color w:val="525252"/>
          <w:spacing w:val="7"/>
          <w:kern w:val="0"/>
          <w:sz w:val="32"/>
          <w:szCs w:val="32"/>
          <w:lang w:val="en-US" w:eastAsia="zh-CN" w:bidi="ar"/>
        </w:rPr>
        <w:t>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B2E8E"/>
    <w:rsid w:val="0FF161C2"/>
    <w:rsid w:val="17DC2561"/>
    <w:rsid w:val="1DCE47C4"/>
    <w:rsid w:val="31DE4F0E"/>
    <w:rsid w:val="367B2E8E"/>
    <w:rsid w:val="5C737FCC"/>
    <w:rsid w:val="64A1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adjustRightInd w:val="0"/>
      <w:snapToGrid w:val="0"/>
      <w:spacing w:line="360" w:lineRule="auto"/>
      <w:ind w:firstLine="20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揭阳普宁市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2023-03-22T09:13:00Z</dcterms:created>
  <dc:creator>猫目谷谷金</dc:creator>
  <cp:lastModifiedBy>Lenovo</cp:lastModifiedBy>
  <dcterms:modified xsi:type="dcterms:W3CDTF">2026-05-21T09:14:15Z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