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rPr>
          <w:b/>
          <w:bCs/>
          <w:sz w:val="72"/>
        </w:rPr>
      </w:pPr>
    </w:p>
    <w:p>
      <w:pPr>
        <w:jc w:val="center"/>
        <w:rPr>
          <w:b/>
          <w:bCs/>
          <w:sz w:val="72"/>
        </w:rPr>
      </w:pPr>
    </w:p>
    <w:p>
      <w:pPr>
        <w:jc w:val="center"/>
        <w:rPr>
          <w:b/>
          <w:bCs/>
          <w:sz w:val="72"/>
        </w:rPr>
      </w:pPr>
    </w:p>
    <w:p>
      <w:pPr>
        <w:spacing w:line="360" w:lineRule="auto"/>
        <w:ind w:firstLine="480" w:firstLineChars="200"/>
        <w:jc w:val="center"/>
        <w:rPr>
          <w:sz w:val="24"/>
        </w:rPr>
      </w:pPr>
    </w:p>
    <w:p>
      <w:pPr>
        <w:jc w:val="center"/>
        <w:rPr>
          <w:b/>
          <w:bCs/>
          <w:color w:val="auto"/>
          <w:sz w:val="72"/>
        </w:rPr>
      </w:pPr>
      <w:bookmarkStart w:id="78" w:name="_GoBack"/>
      <w:r>
        <w:rPr>
          <w:b/>
          <w:bCs/>
          <w:color w:val="auto"/>
          <w:sz w:val="72"/>
        </w:rPr>
        <w:t>建设项目环境影响报告表</w:t>
      </w:r>
    </w:p>
    <w:p>
      <w:pPr>
        <w:spacing w:line="360" w:lineRule="auto"/>
        <w:ind w:firstLine="600" w:firstLineChars="200"/>
        <w:jc w:val="center"/>
        <w:rPr>
          <w:color w:val="auto"/>
          <w:sz w:val="30"/>
        </w:rPr>
      </w:pPr>
    </w:p>
    <w:p>
      <w:pPr>
        <w:spacing w:line="360" w:lineRule="auto"/>
        <w:ind w:firstLine="480" w:firstLineChars="200"/>
        <w:jc w:val="center"/>
        <w:rPr>
          <w:color w:val="auto"/>
          <w:sz w:val="24"/>
        </w:rPr>
      </w:pPr>
    </w:p>
    <w:p>
      <w:pPr>
        <w:spacing w:line="360" w:lineRule="auto"/>
        <w:ind w:firstLine="480" w:firstLineChars="200"/>
        <w:jc w:val="center"/>
        <w:rPr>
          <w:color w:val="auto"/>
          <w:sz w:val="24"/>
        </w:rPr>
      </w:pPr>
    </w:p>
    <w:p>
      <w:pPr>
        <w:spacing w:line="360" w:lineRule="auto"/>
        <w:ind w:firstLine="480" w:firstLineChars="200"/>
        <w:jc w:val="center"/>
        <w:rPr>
          <w:color w:val="auto"/>
          <w:sz w:val="24"/>
        </w:rPr>
      </w:pPr>
    </w:p>
    <w:p>
      <w:pPr>
        <w:spacing w:line="360" w:lineRule="auto"/>
        <w:ind w:firstLine="480" w:firstLineChars="200"/>
        <w:jc w:val="center"/>
        <w:rPr>
          <w:color w:val="auto"/>
          <w:sz w:val="24"/>
        </w:rPr>
      </w:pPr>
    </w:p>
    <w:p>
      <w:pPr>
        <w:spacing w:line="360" w:lineRule="auto"/>
        <w:ind w:left="-105" w:leftChars="-50" w:firstLine="583" w:firstLineChars="243"/>
        <w:jc w:val="center"/>
        <w:rPr>
          <w:color w:val="auto"/>
          <w:sz w:val="24"/>
        </w:rPr>
      </w:pPr>
    </w:p>
    <w:p>
      <w:pPr>
        <w:spacing w:line="360" w:lineRule="auto"/>
        <w:ind w:firstLine="480" w:firstLineChars="200"/>
        <w:jc w:val="center"/>
        <w:rPr>
          <w:color w:val="auto"/>
          <w:sz w:val="24"/>
        </w:rPr>
      </w:pPr>
    </w:p>
    <w:p>
      <w:pPr>
        <w:tabs>
          <w:tab w:val="left" w:pos="6510"/>
          <w:tab w:val="left" w:pos="7035"/>
          <w:tab w:val="left" w:pos="7245"/>
        </w:tabs>
        <w:snapToGrid w:val="0"/>
        <w:spacing w:line="480" w:lineRule="auto"/>
        <w:ind w:left="1260" w:leftChars="600"/>
        <w:jc w:val="left"/>
        <w:rPr>
          <w:b/>
          <w:color w:val="auto"/>
          <w:sz w:val="32"/>
          <w:szCs w:val="32"/>
        </w:rPr>
      </w:pPr>
      <w:r>
        <w:rPr>
          <w:b/>
          <w:color w:val="auto"/>
          <w:sz w:val="32"/>
          <w:szCs w:val="32"/>
        </w:rPr>
        <w:t>项目名称：</w:t>
      </w:r>
      <w:r>
        <w:rPr>
          <w:rFonts w:hint="eastAsia"/>
          <w:b/>
          <w:color w:val="auto"/>
          <w:sz w:val="32"/>
          <w:szCs w:val="32"/>
          <w:u w:val="single"/>
        </w:rPr>
        <w:t>　</w:t>
      </w:r>
      <w:r>
        <w:rPr>
          <w:b/>
          <w:color w:val="auto"/>
          <w:sz w:val="32"/>
          <w:szCs w:val="32"/>
          <w:u w:val="single"/>
        </w:rPr>
        <w:t>商品混凝土建设项</w:t>
      </w:r>
      <w:r>
        <w:rPr>
          <w:rFonts w:hint="eastAsia"/>
          <w:b/>
          <w:color w:val="auto"/>
          <w:sz w:val="32"/>
          <w:szCs w:val="32"/>
          <w:u w:val="single"/>
        </w:rPr>
        <w:t>目　</w:t>
      </w:r>
      <w:r>
        <w:rPr>
          <w:b/>
          <w:color w:val="auto"/>
          <w:sz w:val="32"/>
          <w:szCs w:val="32"/>
          <w:u w:val="single"/>
        </w:rPr>
        <w:t>　</w:t>
      </w:r>
    </w:p>
    <w:p>
      <w:pPr>
        <w:tabs>
          <w:tab w:val="left" w:pos="6510"/>
          <w:tab w:val="left" w:pos="7035"/>
          <w:tab w:val="left" w:pos="7245"/>
        </w:tabs>
        <w:snapToGrid w:val="0"/>
        <w:spacing w:line="480" w:lineRule="auto"/>
        <w:ind w:left="1260" w:leftChars="600"/>
        <w:rPr>
          <w:b/>
          <w:color w:val="auto"/>
          <w:sz w:val="32"/>
          <w:szCs w:val="32"/>
          <w:u w:val="single"/>
        </w:rPr>
      </w:pPr>
      <w:r>
        <w:rPr>
          <w:b/>
          <w:color w:val="auto"/>
          <w:sz w:val="32"/>
          <w:szCs w:val="32"/>
        </w:rPr>
        <w:t>建设单位(盖章)：</w:t>
      </w:r>
      <w:r>
        <w:rPr>
          <w:rFonts w:hint="eastAsia"/>
          <w:b/>
          <w:color w:val="auto"/>
          <w:sz w:val="32"/>
          <w:szCs w:val="32"/>
          <w:u w:val="single"/>
        </w:rPr>
        <w:t>普宁市鹏润混凝土有限公司</w:t>
      </w:r>
      <w:r>
        <w:rPr>
          <w:b/>
          <w:color w:val="auto"/>
          <w:sz w:val="32"/>
          <w:szCs w:val="32"/>
          <w:u w:val="single"/>
        </w:rPr>
        <w:t>　</w:t>
      </w:r>
    </w:p>
    <w:p>
      <w:pPr>
        <w:tabs>
          <w:tab w:val="left" w:pos="6510"/>
          <w:tab w:val="left" w:pos="7245"/>
        </w:tabs>
        <w:snapToGrid w:val="0"/>
        <w:spacing w:line="480" w:lineRule="auto"/>
        <w:ind w:firstLine="480"/>
        <w:jc w:val="center"/>
        <w:rPr>
          <w:color w:val="auto"/>
          <w:sz w:val="24"/>
        </w:rPr>
      </w:pPr>
    </w:p>
    <w:p>
      <w:pPr>
        <w:spacing w:line="360" w:lineRule="auto"/>
        <w:ind w:firstLine="480" w:firstLineChars="200"/>
        <w:jc w:val="center"/>
        <w:rPr>
          <w:color w:val="auto"/>
          <w:sz w:val="24"/>
        </w:rPr>
      </w:pPr>
    </w:p>
    <w:p>
      <w:pPr>
        <w:spacing w:line="360" w:lineRule="auto"/>
        <w:ind w:firstLine="480" w:firstLineChars="200"/>
        <w:jc w:val="center"/>
        <w:rPr>
          <w:color w:val="auto"/>
          <w:sz w:val="24"/>
        </w:rPr>
      </w:pPr>
    </w:p>
    <w:p>
      <w:pPr>
        <w:spacing w:line="360" w:lineRule="auto"/>
        <w:ind w:firstLine="480"/>
        <w:rPr>
          <w:color w:val="auto"/>
          <w:sz w:val="24"/>
        </w:rPr>
      </w:pPr>
    </w:p>
    <w:p>
      <w:pPr>
        <w:spacing w:line="360" w:lineRule="auto"/>
        <w:ind w:firstLine="480"/>
        <w:rPr>
          <w:color w:val="auto"/>
          <w:sz w:val="24"/>
        </w:rPr>
      </w:pPr>
    </w:p>
    <w:p>
      <w:pPr>
        <w:spacing w:line="360" w:lineRule="auto"/>
        <w:ind w:firstLine="480"/>
        <w:rPr>
          <w:color w:val="auto"/>
          <w:sz w:val="24"/>
        </w:rPr>
      </w:pPr>
    </w:p>
    <w:p>
      <w:pPr>
        <w:spacing w:line="360" w:lineRule="auto"/>
        <w:ind w:firstLine="480"/>
        <w:rPr>
          <w:color w:val="auto"/>
          <w:sz w:val="24"/>
        </w:rPr>
      </w:pPr>
    </w:p>
    <w:p>
      <w:pPr>
        <w:tabs>
          <w:tab w:val="left" w:pos="2625"/>
          <w:tab w:val="left" w:pos="6405"/>
          <w:tab w:val="left" w:pos="6615"/>
        </w:tabs>
        <w:snapToGrid w:val="0"/>
        <w:spacing w:line="480" w:lineRule="auto"/>
        <w:jc w:val="center"/>
        <w:rPr>
          <w:b/>
          <w:color w:val="auto"/>
          <w:sz w:val="32"/>
          <w:szCs w:val="32"/>
        </w:rPr>
      </w:pPr>
      <w:r>
        <w:rPr>
          <w:b/>
          <w:color w:val="auto"/>
          <w:sz w:val="32"/>
          <w:szCs w:val="32"/>
        </w:rPr>
        <w:t>编制日期：20</w:t>
      </w:r>
      <w:r>
        <w:rPr>
          <w:rFonts w:hint="eastAsia"/>
          <w:b/>
          <w:color w:val="auto"/>
          <w:sz w:val="32"/>
          <w:szCs w:val="32"/>
        </w:rPr>
        <w:t>20</w:t>
      </w:r>
      <w:r>
        <w:rPr>
          <w:b/>
          <w:color w:val="auto"/>
          <w:sz w:val="32"/>
          <w:szCs w:val="32"/>
        </w:rPr>
        <w:t>年</w:t>
      </w:r>
      <w:r>
        <w:rPr>
          <w:rFonts w:hint="eastAsia"/>
          <w:b/>
          <w:color w:val="auto"/>
          <w:sz w:val="32"/>
          <w:szCs w:val="32"/>
        </w:rPr>
        <w:t>7</w:t>
      </w:r>
      <w:r>
        <w:rPr>
          <w:b/>
          <w:color w:val="auto"/>
          <w:sz w:val="32"/>
          <w:szCs w:val="32"/>
        </w:rPr>
        <w:t>月</w:t>
      </w:r>
    </w:p>
    <w:p>
      <w:pPr>
        <w:spacing w:line="480" w:lineRule="auto"/>
        <w:jc w:val="center"/>
        <w:rPr>
          <w:b/>
          <w:color w:val="auto"/>
          <w:sz w:val="32"/>
          <w:szCs w:val="32"/>
        </w:rPr>
      </w:pPr>
      <w:r>
        <w:rPr>
          <w:b/>
          <w:color w:val="auto"/>
          <w:sz w:val="32"/>
          <w:szCs w:val="32"/>
        </w:rPr>
        <w:t>国家</w:t>
      </w:r>
      <w:r>
        <w:rPr>
          <w:rFonts w:hint="eastAsia"/>
          <w:b/>
          <w:color w:val="auto"/>
          <w:sz w:val="32"/>
          <w:szCs w:val="32"/>
        </w:rPr>
        <w:t>生态环境</w:t>
      </w:r>
      <w:r>
        <w:rPr>
          <w:b/>
          <w:color w:val="auto"/>
          <w:sz w:val="32"/>
          <w:szCs w:val="32"/>
        </w:rPr>
        <w:t>部制</w:t>
      </w:r>
    </w:p>
    <w:p>
      <w:pPr>
        <w:spacing w:line="480" w:lineRule="auto"/>
        <w:rPr>
          <w:bCs/>
          <w:color w:val="auto"/>
          <w:sz w:val="28"/>
        </w:rPr>
        <w:sectPr>
          <w:headerReference r:id="rId5" w:type="first"/>
          <w:footerReference r:id="rId8" w:type="first"/>
          <w:headerReference r:id="rId3" w:type="default"/>
          <w:footerReference r:id="rId6" w:type="default"/>
          <w:headerReference r:id="rId4" w:type="even"/>
          <w:footerReference r:id="rId7" w:type="even"/>
          <w:pgSz w:w="11906" w:h="16838"/>
          <w:pgMar w:top="1361" w:right="1701" w:bottom="1361" w:left="1701" w:header="851" w:footer="992" w:gutter="0"/>
          <w:pgNumType w:start="0"/>
          <w:cols w:space="720" w:num="1"/>
          <w:titlePg/>
          <w:docGrid w:linePitch="312" w:charSpace="0"/>
        </w:sectPr>
      </w:pPr>
    </w:p>
    <w:p>
      <w:pPr>
        <w:pStyle w:val="195"/>
        <w:autoSpaceDE/>
        <w:autoSpaceDN/>
        <w:adjustRightInd/>
        <w:spacing w:line="480" w:lineRule="auto"/>
        <w:textAlignment w:val="auto"/>
        <w:rPr>
          <w:rFonts w:eastAsia="宋体"/>
          <w:color w:val="auto"/>
          <w:kern w:val="2"/>
          <w:szCs w:val="24"/>
        </w:rPr>
      </w:pPr>
    </w:p>
    <w:p>
      <w:pPr>
        <w:pStyle w:val="195"/>
        <w:autoSpaceDE/>
        <w:autoSpaceDN/>
        <w:adjustRightInd/>
        <w:spacing w:line="480" w:lineRule="auto"/>
        <w:ind w:firstLine="281" w:firstLineChars="100"/>
        <w:jc w:val="center"/>
        <w:textAlignment w:val="auto"/>
        <w:rPr>
          <w:rFonts w:eastAsia="宋体"/>
          <w:b/>
          <w:bCs/>
          <w:color w:val="auto"/>
          <w:kern w:val="2"/>
          <w:sz w:val="28"/>
          <w:szCs w:val="28"/>
        </w:rPr>
      </w:pPr>
      <w:r>
        <w:rPr>
          <w:rFonts w:eastAsia="宋体"/>
          <w:b/>
          <w:bCs/>
          <w:color w:val="auto"/>
          <w:kern w:val="2"/>
          <w:sz w:val="28"/>
          <w:szCs w:val="28"/>
        </w:rPr>
        <w:t>《建设项目环境影响报告表》编制说明</w:t>
      </w:r>
    </w:p>
    <w:p>
      <w:pPr>
        <w:pStyle w:val="195"/>
        <w:autoSpaceDE/>
        <w:autoSpaceDN/>
        <w:adjustRightInd/>
        <w:spacing w:line="480" w:lineRule="auto"/>
        <w:ind w:firstLine="960" w:firstLineChars="400"/>
        <w:textAlignment w:val="auto"/>
        <w:rPr>
          <w:rFonts w:eastAsia="宋体"/>
          <w:color w:val="auto"/>
          <w:kern w:val="2"/>
          <w:szCs w:val="24"/>
        </w:rPr>
      </w:pPr>
      <w:r>
        <w:rPr>
          <w:rFonts w:eastAsia="宋体"/>
          <w:color w:val="auto"/>
          <w:kern w:val="2"/>
          <w:szCs w:val="24"/>
        </w:rPr>
        <w:t>《建设项目环境影响报告》由具有从事环境影响评价工作资质的单位编制</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项目名称――指项目立项批复时的名称，应不超过30个字（两个英文字段作一个汉字）。</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建设地点――指项目所在地详细地址、公路、铁路应填写起止点。</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行业类别――按国标填写。</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总投资　――指项目投资总额。</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主要环境保护目标――指项目区周围一定范围内集中居民住宅、学校、医院、保护文物、风景名胜区、水源地和生态敏感点等，应尽可能给出保护目标、性质、规模和距厂界距离等。</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结论与建议――给出本项目清洁生产、达标排放和总量控制的分析结论，确定污染防治措施的有效性，说明本项目对环境造成的影响，给出建设项目环境可行性的明确结论。同时提出减少环境影响的其它建议。</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预审意见――由行业主管部门填写答复意见，无主管部门项目，可不填。</w:t>
      </w:r>
    </w:p>
    <w:p>
      <w:pPr>
        <w:pStyle w:val="195"/>
        <w:numPr>
          <w:ilvl w:val="0"/>
          <w:numId w:val="1"/>
        </w:numPr>
        <w:tabs>
          <w:tab w:val="left" w:pos="360"/>
          <w:tab w:val="clear" w:pos="4875"/>
        </w:tabs>
        <w:autoSpaceDE/>
        <w:autoSpaceDN/>
        <w:adjustRightInd/>
        <w:spacing w:line="480" w:lineRule="auto"/>
        <w:ind w:left="360" w:firstLine="480"/>
        <w:textAlignment w:val="auto"/>
        <w:rPr>
          <w:rFonts w:eastAsia="宋体"/>
          <w:color w:val="auto"/>
          <w:kern w:val="2"/>
          <w:szCs w:val="24"/>
        </w:rPr>
      </w:pPr>
      <w:r>
        <w:rPr>
          <w:rFonts w:eastAsia="宋体"/>
          <w:color w:val="auto"/>
          <w:kern w:val="2"/>
          <w:szCs w:val="24"/>
        </w:rPr>
        <w:t>审批意见――由负责审批该项目的环境保护行政主管部门批复。</w:t>
      </w:r>
    </w:p>
    <w:p>
      <w:pPr>
        <w:widowControl/>
        <w:jc w:val="left"/>
        <w:rPr>
          <w:color w:val="auto"/>
        </w:rPr>
      </w:pPr>
      <w:r>
        <w:rPr>
          <w:color w:val="auto"/>
        </w:rPr>
        <w:br w:type="page"/>
      </w:r>
      <w:r>
        <w:rPr>
          <w:color w:val="auto"/>
        </w:rPr>
        <w:drawing>
          <wp:inline distT="0" distB="0" distL="0" distR="0">
            <wp:extent cx="6188710" cy="8582025"/>
            <wp:effectExtent l="19050" t="0" r="2540" b="0"/>
            <wp:docPr id="17" name="图片 2" descr="C:\Users\ADMINI~1\AppData\Local\Temp\WeChat Files\c86141bf8f11eeefea0ae12941b6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C:\Users\ADMINI~1\AppData\Local\Temp\WeChat Files\c86141bf8f11eeefea0ae12941b6de6.jpg"/>
                    <pic:cNvPicPr>
                      <a:picLocks noChangeAspect="1" noChangeArrowheads="1"/>
                    </pic:cNvPicPr>
                  </pic:nvPicPr>
                  <pic:blipFill>
                    <a:blip r:embed="rId14"/>
                    <a:srcRect/>
                    <a:stretch>
                      <a:fillRect/>
                    </a:stretch>
                  </pic:blipFill>
                  <pic:spPr>
                    <a:xfrm>
                      <a:off x="0" y="0"/>
                      <a:ext cx="6188710" cy="8582287"/>
                    </a:xfrm>
                    <a:prstGeom prst="rect">
                      <a:avLst/>
                    </a:prstGeom>
                    <a:noFill/>
                    <a:ln w="9525">
                      <a:noFill/>
                      <a:miter lim="800000"/>
                      <a:headEnd/>
                      <a:tailEnd/>
                    </a:ln>
                  </pic:spPr>
                </pic:pic>
              </a:graphicData>
            </a:graphic>
          </wp:inline>
        </w:drawing>
      </w:r>
    </w:p>
    <w:p>
      <w:pPr>
        <w:pStyle w:val="2"/>
        <w:ind w:firstLine="0" w:firstLineChars="0"/>
        <w:jc w:val="center"/>
        <w:rPr>
          <w:color w:val="auto"/>
        </w:rPr>
      </w:pPr>
      <w:r>
        <w:rPr>
          <w:color w:val="auto"/>
        </w:rPr>
        <w:drawing>
          <wp:inline distT="0" distB="0" distL="0" distR="0">
            <wp:extent cx="6188710" cy="86645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6188710" cy="8664575"/>
                    </a:xfrm>
                    <a:prstGeom prst="rect">
                      <a:avLst/>
                    </a:prstGeom>
                  </pic:spPr>
                </pic:pic>
              </a:graphicData>
            </a:graphic>
          </wp:inline>
        </w:drawing>
      </w:r>
    </w:p>
    <w:p>
      <w:pPr>
        <w:pStyle w:val="2"/>
        <w:ind w:firstLine="0" w:firstLineChars="0"/>
        <w:rPr>
          <w:color w:val="auto"/>
        </w:rPr>
      </w:pPr>
      <w:r>
        <w:rPr>
          <w:color w:val="auto"/>
        </w:rPr>
        <w:drawing>
          <wp:inline distT="0" distB="0" distL="0" distR="0">
            <wp:extent cx="6188710" cy="84728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6188710" cy="8472805"/>
                    </a:xfrm>
                    <a:prstGeom prst="rect">
                      <a:avLst/>
                    </a:prstGeom>
                  </pic:spPr>
                </pic:pic>
              </a:graphicData>
            </a:graphic>
          </wp:inline>
        </w:drawing>
      </w:r>
    </w:p>
    <w:p>
      <w:pPr>
        <w:pStyle w:val="2"/>
        <w:ind w:firstLine="0" w:firstLineChars="0"/>
        <w:jc w:val="center"/>
        <w:rPr>
          <w:color w:val="auto"/>
        </w:rPr>
      </w:pPr>
      <w:r>
        <w:rPr>
          <w:color w:val="auto"/>
        </w:rPr>
        <w:drawing>
          <wp:inline distT="0" distB="0" distL="0" distR="0">
            <wp:extent cx="5819775" cy="85280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5822692" cy="8531989"/>
                    </a:xfrm>
                    <a:prstGeom prst="rect">
                      <a:avLst/>
                    </a:prstGeom>
                  </pic:spPr>
                </pic:pic>
              </a:graphicData>
            </a:graphic>
          </wp:inline>
        </w:drawing>
      </w:r>
    </w:p>
    <w:p>
      <w:pPr>
        <w:pStyle w:val="2"/>
        <w:ind w:firstLine="0" w:firstLineChars="0"/>
        <w:rPr>
          <w:color w:val="auto"/>
        </w:rPr>
      </w:pPr>
      <w:r>
        <w:rPr>
          <w:color w:val="auto"/>
        </w:rPr>
        <w:drawing>
          <wp:inline distT="0" distB="0" distL="0" distR="0">
            <wp:extent cx="6188710" cy="80486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6188710" cy="8048625"/>
                    </a:xfrm>
                    <a:prstGeom prst="rect">
                      <a:avLst/>
                    </a:prstGeom>
                  </pic:spPr>
                </pic:pic>
              </a:graphicData>
            </a:graphic>
          </wp:inline>
        </w:drawing>
      </w:r>
    </w:p>
    <w:p>
      <w:pPr>
        <w:pStyle w:val="2"/>
        <w:ind w:firstLine="0" w:firstLineChars="0"/>
        <w:rPr>
          <w:color w:val="auto"/>
        </w:rPr>
      </w:pPr>
      <w:r>
        <w:rPr>
          <w:color w:val="auto"/>
        </w:rPr>
        <w:drawing>
          <wp:inline distT="0" distB="0" distL="0" distR="0">
            <wp:extent cx="6188710" cy="884809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6188710" cy="8848090"/>
                    </a:xfrm>
                    <a:prstGeom prst="rect">
                      <a:avLst/>
                    </a:prstGeom>
                  </pic:spPr>
                </pic:pic>
              </a:graphicData>
            </a:graphic>
          </wp:inline>
        </w:drawing>
      </w:r>
    </w:p>
    <w:p>
      <w:pPr>
        <w:pStyle w:val="2"/>
        <w:ind w:firstLine="0" w:firstLineChars="0"/>
        <w:rPr>
          <w:color w:val="auto"/>
        </w:rPr>
      </w:pPr>
      <w:r>
        <w:rPr>
          <w:color w:val="auto"/>
        </w:rPr>
        <w:drawing>
          <wp:inline distT="0" distB="0" distL="0" distR="0">
            <wp:extent cx="5980430" cy="8837930"/>
            <wp:effectExtent l="0" t="0" r="127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0"/>
                    <a:stretch>
                      <a:fillRect/>
                    </a:stretch>
                  </pic:blipFill>
                  <pic:spPr>
                    <a:xfrm>
                      <a:off x="0" y="0"/>
                      <a:ext cx="5980952" cy="8838095"/>
                    </a:xfrm>
                    <a:prstGeom prst="rect">
                      <a:avLst/>
                    </a:prstGeom>
                  </pic:spPr>
                </pic:pic>
              </a:graphicData>
            </a:graphic>
          </wp:inline>
        </w:drawing>
      </w:r>
    </w:p>
    <w:p>
      <w:pPr>
        <w:pStyle w:val="3"/>
        <w:keepLines/>
        <w:tabs>
          <w:tab w:val="left" w:pos="630"/>
        </w:tabs>
        <w:jc w:val="both"/>
        <w:rPr>
          <w:b/>
          <w:bCs/>
          <w:color w:val="auto"/>
          <w:kern w:val="44"/>
          <w:sz w:val="32"/>
          <w:szCs w:val="32"/>
        </w:rPr>
      </w:pPr>
      <w:r>
        <w:rPr>
          <w:b/>
          <w:bCs/>
          <w:color w:val="auto"/>
          <w:kern w:val="44"/>
          <w:sz w:val="32"/>
          <w:szCs w:val="32"/>
        </w:rPr>
        <w:t>一、建设项目基本情况</w:t>
      </w:r>
    </w:p>
    <w:tbl>
      <w:tblPr>
        <w:tblStyle w:val="30"/>
        <w:tblW w:w="996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174"/>
        <w:gridCol w:w="1682"/>
        <w:gridCol w:w="1032"/>
        <w:gridCol w:w="784"/>
        <w:gridCol w:w="107"/>
        <w:gridCol w:w="1480"/>
        <w:gridCol w:w="1548"/>
        <w:gridCol w:w="56"/>
        <w:gridCol w:w="1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1" w:hRule="atLeast"/>
        </w:trPr>
        <w:tc>
          <w:tcPr>
            <w:tcW w:w="2174" w:type="dxa"/>
          </w:tcPr>
          <w:p>
            <w:pPr>
              <w:snapToGrid w:val="0"/>
              <w:spacing w:before="48" w:beforeLines="20" w:after="48" w:afterLines="20"/>
              <w:jc w:val="center"/>
              <w:rPr>
                <w:color w:val="auto"/>
                <w:sz w:val="24"/>
              </w:rPr>
            </w:pPr>
            <w:r>
              <w:rPr>
                <w:rFonts w:hAnsi="Calibri"/>
                <w:color w:val="auto"/>
                <w:sz w:val="24"/>
              </w:rPr>
              <w:t>项目名称</w:t>
            </w:r>
          </w:p>
        </w:tc>
        <w:tc>
          <w:tcPr>
            <w:tcW w:w="7788" w:type="dxa"/>
            <w:gridSpan w:val="8"/>
            <w:vAlign w:val="center"/>
          </w:tcPr>
          <w:p>
            <w:pPr>
              <w:snapToGrid w:val="0"/>
              <w:spacing w:line="240" w:lineRule="atLeast"/>
              <w:ind w:firstLine="480"/>
              <w:jc w:val="center"/>
              <w:rPr>
                <w:color w:val="auto"/>
                <w:sz w:val="24"/>
              </w:rPr>
            </w:pPr>
            <w:r>
              <w:rPr>
                <w:rFonts w:hAnsi="Calibri"/>
                <w:color w:val="auto"/>
                <w:sz w:val="24"/>
              </w:rPr>
              <w:t>商品混凝土建设项目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1" w:hRule="atLeast"/>
        </w:trPr>
        <w:tc>
          <w:tcPr>
            <w:tcW w:w="2174" w:type="dxa"/>
          </w:tcPr>
          <w:p>
            <w:pPr>
              <w:snapToGrid w:val="0"/>
              <w:spacing w:before="48" w:beforeLines="20" w:after="48" w:afterLines="20"/>
              <w:jc w:val="center"/>
              <w:rPr>
                <w:color w:val="auto"/>
                <w:sz w:val="24"/>
              </w:rPr>
            </w:pPr>
            <w:r>
              <w:rPr>
                <w:rFonts w:hAnsi="Calibri"/>
                <w:color w:val="auto"/>
                <w:sz w:val="24"/>
              </w:rPr>
              <w:t>建设单位</w:t>
            </w:r>
          </w:p>
        </w:tc>
        <w:tc>
          <w:tcPr>
            <w:tcW w:w="7788" w:type="dxa"/>
            <w:gridSpan w:val="8"/>
            <w:vAlign w:val="center"/>
          </w:tcPr>
          <w:p>
            <w:pPr>
              <w:snapToGrid w:val="0"/>
              <w:spacing w:before="48" w:beforeLines="20" w:after="48" w:afterLines="20"/>
              <w:jc w:val="center"/>
              <w:rPr>
                <w:color w:val="auto"/>
                <w:sz w:val="24"/>
              </w:rPr>
            </w:pPr>
            <w:r>
              <w:rPr>
                <w:rFonts w:hAnsi="Calibri"/>
                <w:color w:val="auto"/>
                <w:sz w:val="24"/>
              </w:rPr>
              <w:t>普宁市鹏润混凝土有限公司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1" w:hRule="atLeast"/>
        </w:trPr>
        <w:tc>
          <w:tcPr>
            <w:tcW w:w="2174" w:type="dxa"/>
          </w:tcPr>
          <w:p>
            <w:pPr>
              <w:snapToGrid w:val="0"/>
              <w:spacing w:before="48" w:beforeLines="20" w:after="48" w:afterLines="20"/>
              <w:jc w:val="center"/>
              <w:rPr>
                <w:color w:val="auto"/>
                <w:sz w:val="24"/>
              </w:rPr>
            </w:pPr>
            <w:r>
              <w:rPr>
                <w:rFonts w:hAnsi="Calibri"/>
                <w:color w:val="auto"/>
                <w:sz w:val="24"/>
              </w:rPr>
              <w:t>法人代表</w:t>
            </w:r>
          </w:p>
        </w:tc>
        <w:tc>
          <w:tcPr>
            <w:tcW w:w="3605" w:type="dxa"/>
            <w:gridSpan w:val="4"/>
            <w:vAlign w:val="center"/>
          </w:tcPr>
          <w:p>
            <w:pPr>
              <w:adjustRightInd w:val="0"/>
              <w:snapToGrid w:val="0"/>
              <w:jc w:val="center"/>
              <w:rPr>
                <w:color w:val="auto"/>
                <w:sz w:val="24"/>
              </w:rPr>
            </w:pPr>
            <w:r>
              <w:rPr>
                <w:rFonts w:hint="eastAsia" w:hAnsi="Arial"/>
                <w:color w:val="auto"/>
                <w:sz w:val="24"/>
              </w:rPr>
              <w:t>杨创枝</w:t>
            </w:r>
          </w:p>
        </w:tc>
        <w:tc>
          <w:tcPr>
            <w:tcW w:w="1480" w:type="dxa"/>
            <w:vAlign w:val="center"/>
          </w:tcPr>
          <w:p>
            <w:pPr>
              <w:adjustRightInd w:val="0"/>
              <w:snapToGrid w:val="0"/>
              <w:jc w:val="center"/>
              <w:rPr>
                <w:color w:val="auto"/>
                <w:sz w:val="24"/>
              </w:rPr>
            </w:pPr>
            <w:r>
              <w:rPr>
                <w:rFonts w:hAnsi="Calibri"/>
                <w:color w:val="auto"/>
                <w:sz w:val="24"/>
              </w:rPr>
              <w:t>联系人</w:t>
            </w:r>
          </w:p>
        </w:tc>
        <w:tc>
          <w:tcPr>
            <w:tcW w:w="2703" w:type="dxa"/>
            <w:gridSpan w:val="3"/>
            <w:vAlign w:val="center"/>
          </w:tcPr>
          <w:p>
            <w:pPr>
              <w:adjustRightInd w:val="0"/>
              <w:snapToGrid w:val="0"/>
              <w:jc w:val="center"/>
              <w:rPr>
                <w:color w:val="auto"/>
                <w:sz w:val="24"/>
              </w:rPr>
            </w:pPr>
            <w:r>
              <w:rPr>
                <w:rFonts w:hint="eastAsia" w:hAnsi="Arial"/>
                <w:color w:val="auto"/>
                <w:sz w:val="24"/>
              </w:rPr>
              <w:t>杨创枝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6" w:hRule="atLeast"/>
        </w:trPr>
        <w:tc>
          <w:tcPr>
            <w:tcW w:w="2174" w:type="dxa"/>
          </w:tcPr>
          <w:p>
            <w:pPr>
              <w:snapToGrid w:val="0"/>
              <w:spacing w:before="48" w:beforeLines="20" w:after="48" w:afterLines="20"/>
              <w:jc w:val="center"/>
              <w:rPr>
                <w:color w:val="auto"/>
                <w:sz w:val="24"/>
              </w:rPr>
            </w:pPr>
            <w:r>
              <w:rPr>
                <w:rFonts w:hAnsi="Calibri"/>
                <w:color w:val="auto"/>
                <w:sz w:val="24"/>
              </w:rPr>
              <w:t>通讯地址</w:t>
            </w:r>
          </w:p>
        </w:tc>
        <w:tc>
          <w:tcPr>
            <w:tcW w:w="7788" w:type="dxa"/>
            <w:gridSpan w:val="8"/>
            <w:vAlign w:val="center"/>
          </w:tcPr>
          <w:p>
            <w:pPr>
              <w:adjustRightInd w:val="0"/>
              <w:snapToGrid w:val="0"/>
              <w:jc w:val="center"/>
              <w:rPr>
                <w:color w:val="auto"/>
                <w:sz w:val="24"/>
              </w:rPr>
            </w:pPr>
            <w:r>
              <w:rPr>
                <w:rFonts w:hAnsi="Calibri"/>
                <w:color w:val="auto"/>
                <w:sz w:val="24"/>
              </w:rPr>
              <w:t>普宁</w:t>
            </w:r>
            <w:r>
              <w:rPr>
                <w:rFonts w:hint="eastAsia" w:hAnsi="Calibri"/>
                <w:color w:val="auto"/>
                <w:sz w:val="24"/>
              </w:rPr>
              <w:t>市</w:t>
            </w:r>
            <w:r>
              <w:rPr>
                <w:rFonts w:hAnsi="Calibri"/>
                <w:color w:val="auto"/>
                <w:sz w:val="24"/>
              </w:rPr>
              <w:t>军埠镇大长陇工业区</w:t>
            </w:r>
            <w:r>
              <w:rPr>
                <w:rFonts w:hint="eastAsia"/>
                <w:color w:val="auto"/>
                <w:sz w:val="24"/>
              </w:rPr>
              <w:t>荣祥</w:t>
            </w:r>
            <w:r>
              <w:rPr>
                <w:color w:val="auto"/>
                <w:sz w:val="24"/>
              </w:rPr>
              <w:t>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2174" w:type="dxa"/>
          </w:tcPr>
          <w:p>
            <w:pPr>
              <w:snapToGrid w:val="0"/>
              <w:spacing w:before="48" w:beforeLines="20" w:after="48" w:afterLines="20"/>
              <w:jc w:val="center"/>
              <w:rPr>
                <w:color w:val="auto"/>
                <w:sz w:val="24"/>
              </w:rPr>
            </w:pPr>
            <w:r>
              <w:rPr>
                <w:rFonts w:hAnsi="Calibri"/>
                <w:color w:val="auto"/>
                <w:sz w:val="24"/>
              </w:rPr>
              <w:t>联系电话</w:t>
            </w:r>
          </w:p>
        </w:tc>
        <w:tc>
          <w:tcPr>
            <w:tcW w:w="2714" w:type="dxa"/>
            <w:gridSpan w:val="2"/>
            <w:vAlign w:val="center"/>
          </w:tcPr>
          <w:p>
            <w:pPr>
              <w:adjustRightInd w:val="0"/>
              <w:snapToGrid w:val="0"/>
              <w:jc w:val="center"/>
              <w:rPr>
                <w:color w:val="auto"/>
                <w:sz w:val="24"/>
              </w:rPr>
            </w:pPr>
            <w:r>
              <w:rPr>
                <w:color w:val="auto"/>
                <w:sz w:val="24"/>
              </w:rPr>
              <w:t>18122619395</w:t>
            </w:r>
          </w:p>
        </w:tc>
        <w:tc>
          <w:tcPr>
            <w:tcW w:w="891" w:type="dxa"/>
            <w:gridSpan w:val="2"/>
            <w:vAlign w:val="center"/>
          </w:tcPr>
          <w:p>
            <w:pPr>
              <w:adjustRightInd w:val="0"/>
              <w:snapToGrid w:val="0"/>
              <w:jc w:val="center"/>
              <w:rPr>
                <w:color w:val="auto"/>
                <w:sz w:val="24"/>
              </w:rPr>
            </w:pPr>
            <w:r>
              <w:rPr>
                <w:rFonts w:hAnsi="Calibri"/>
                <w:color w:val="auto"/>
                <w:sz w:val="24"/>
              </w:rPr>
              <w:t>传真</w:t>
            </w:r>
          </w:p>
        </w:tc>
        <w:tc>
          <w:tcPr>
            <w:tcW w:w="1480" w:type="dxa"/>
            <w:vAlign w:val="center"/>
          </w:tcPr>
          <w:p>
            <w:pPr>
              <w:adjustRightInd w:val="0"/>
              <w:snapToGrid w:val="0"/>
              <w:jc w:val="center"/>
              <w:rPr>
                <w:color w:val="auto"/>
                <w:sz w:val="24"/>
              </w:rPr>
            </w:pPr>
            <w:r>
              <w:rPr>
                <w:color w:val="auto"/>
                <w:sz w:val="24"/>
              </w:rPr>
              <w:t>/</w:t>
            </w:r>
          </w:p>
        </w:tc>
        <w:tc>
          <w:tcPr>
            <w:tcW w:w="1548" w:type="dxa"/>
            <w:vAlign w:val="center"/>
          </w:tcPr>
          <w:p>
            <w:pPr>
              <w:adjustRightInd w:val="0"/>
              <w:snapToGrid w:val="0"/>
              <w:jc w:val="center"/>
              <w:rPr>
                <w:color w:val="auto"/>
                <w:sz w:val="24"/>
              </w:rPr>
            </w:pPr>
            <w:r>
              <w:rPr>
                <w:rFonts w:hAnsi="Calibri"/>
                <w:color w:val="auto"/>
                <w:sz w:val="24"/>
              </w:rPr>
              <w:t>邮政编码</w:t>
            </w:r>
          </w:p>
        </w:tc>
        <w:tc>
          <w:tcPr>
            <w:tcW w:w="1155" w:type="dxa"/>
            <w:gridSpan w:val="2"/>
            <w:vAlign w:val="center"/>
          </w:tcPr>
          <w:p>
            <w:pPr>
              <w:adjustRightInd w:val="0"/>
              <w:snapToGrid w:val="0"/>
              <w:jc w:val="center"/>
              <w:rPr>
                <w:color w:val="auto"/>
                <w:sz w:val="24"/>
              </w:rPr>
            </w:pPr>
            <w:r>
              <w:rPr>
                <w:color w:val="auto"/>
                <w:sz w:val="24"/>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7" w:hRule="atLeast"/>
        </w:trPr>
        <w:tc>
          <w:tcPr>
            <w:tcW w:w="2174" w:type="dxa"/>
          </w:tcPr>
          <w:p>
            <w:pPr>
              <w:snapToGrid w:val="0"/>
              <w:spacing w:before="48" w:beforeLines="20" w:after="48" w:afterLines="20"/>
              <w:jc w:val="center"/>
              <w:rPr>
                <w:color w:val="auto"/>
                <w:sz w:val="24"/>
              </w:rPr>
            </w:pPr>
            <w:r>
              <w:rPr>
                <w:rFonts w:hAnsi="Calibri"/>
                <w:color w:val="auto"/>
                <w:sz w:val="24"/>
              </w:rPr>
              <w:t>建设地点</w:t>
            </w:r>
          </w:p>
        </w:tc>
        <w:tc>
          <w:tcPr>
            <w:tcW w:w="7788" w:type="dxa"/>
            <w:gridSpan w:val="8"/>
            <w:vAlign w:val="center"/>
          </w:tcPr>
          <w:p>
            <w:pPr>
              <w:adjustRightInd w:val="0"/>
              <w:snapToGrid w:val="0"/>
              <w:jc w:val="center"/>
              <w:rPr>
                <w:color w:val="auto"/>
                <w:sz w:val="24"/>
              </w:rPr>
            </w:pPr>
            <w:r>
              <w:rPr>
                <w:rFonts w:hAnsi="Calibri"/>
                <w:color w:val="auto"/>
                <w:sz w:val="24"/>
              </w:rPr>
              <w:t>普宁</w:t>
            </w:r>
            <w:r>
              <w:rPr>
                <w:rFonts w:hint="eastAsia" w:hAnsi="Calibri"/>
                <w:color w:val="auto"/>
                <w:sz w:val="24"/>
              </w:rPr>
              <w:t>市</w:t>
            </w:r>
            <w:r>
              <w:rPr>
                <w:rFonts w:hAnsi="Calibri"/>
                <w:color w:val="auto"/>
                <w:sz w:val="24"/>
              </w:rPr>
              <w:t>军埠镇大长陇工业区</w:t>
            </w:r>
            <w:r>
              <w:rPr>
                <w:rFonts w:hint="eastAsia" w:hAnsi="Calibri"/>
                <w:color w:val="auto"/>
                <w:sz w:val="24"/>
              </w:rPr>
              <w:t>荣祥</w:t>
            </w:r>
            <w:r>
              <w:rPr>
                <w:rFonts w:hAnsi="Calibri"/>
                <w:color w:val="auto"/>
                <w:sz w:val="24"/>
              </w:rPr>
              <w:t>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 w:hRule="atLeast"/>
        </w:trPr>
        <w:tc>
          <w:tcPr>
            <w:tcW w:w="2174" w:type="dxa"/>
          </w:tcPr>
          <w:p>
            <w:pPr>
              <w:snapToGrid w:val="0"/>
              <w:spacing w:before="48" w:beforeLines="20" w:after="48" w:afterLines="20"/>
              <w:jc w:val="center"/>
              <w:rPr>
                <w:color w:val="auto"/>
                <w:sz w:val="24"/>
              </w:rPr>
            </w:pPr>
            <w:r>
              <w:rPr>
                <w:rFonts w:hAnsi="Calibri"/>
                <w:color w:val="auto"/>
                <w:sz w:val="24"/>
              </w:rPr>
              <w:t>立项审批部门</w:t>
            </w:r>
          </w:p>
        </w:tc>
        <w:tc>
          <w:tcPr>
            <w:tcW w:w="3498" w:type="dxa"/>
            <w:gridSpan w:val="3"/>
            <w:vAlign w:val="center"/>
          </w:tcPr>
          <w:p>
            <w:pPr>
              <w:snapToGrid w:val="0"/>
              <w:spacing w:before="48" w:beforeLines="20" w:after="48" w:afterLines="20"/>
              <w:jc w:val="center"/>
              <w:rPr>
                <w:color w:val="auto"/>
                <w:sz w:val="24"/>
              </w:rPr>
            </w:pPr>
            <w:r>
              <w:rPr>
                <w:color w:val="auto"/>
                <w:sz w:val="24"/>
              </w:rPr>
              <w:t>——</w:t>
            </w:r>
          </w:p>
        </w:tc>
        <w:tc>
          <w:tcPr>
            <w:tcW w:w="1587" w:type="dxa"/>
            <w:gridSpan w:val="2"/>
            <w:vAlign w:val="center"/>
          </w:tcPr>
          <w:p>
            <w:pPr>
              <w:snapToGrid w:val="0"/>
              <w:spacing w:before="48" w:beforeLines="20" w:after="48" w:afterLines="20"/>
              <w:jc w:val="center"/>
              <w:rPr>
                <w:color w:val="auto"/>
                <w:sz w:val="24"/>
              </w:rPr>
            </w:pPr>
            <w:r>
              <w:rPr>
                <w:rFonts w:hAnsi="Calibri"/>
                <w:color w:val="auto"/>
                <w:sz w:val="24"/>
              </w:rPr>
              <w:t>批准文号</w:t>
            </w:r>
          </w:p>
        </w:tc>
        <w:tc>
          <w:tcPr>
            <w:tcW w:w="2703" w:type="dxa"/>
            <w:gridSpan w:val="3"/>
            <w:vAlign w:val="center"/>
          </w:tcPr>
          <w:p>
            <w:pPr>
              <w:snapToGrid w:val="0"/>
              <w:spacing w:before="48" w:beforeLines="20" w:after="48" w:afterLines="20"/>
              <w:jc w:val="center"/>
              <w:rPr>
                <w:color w:val="auto"/>
                <w:sz w:val="24"/>
              </w:rPr>
            </w:pPr>
            <w:r>
              <w:rPr>
                <w:color w:val="auto"/>
                <w:sz w:val="24"/>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7" w:hRule="atLeast"/>
        </w:trPr>
        <w:tc>
          <w:tcPr>
            <w:tcW w:w="2174" w:type="dxa"/>
          </w:tcPr>
          <w:p>
            <w:pPr>
              <w:spacing w:before="48" w:beforeLines="20" w:after="48" w:afterLines="20"/>
              <w:jc w:val="center"/>
              <w:rPr>
                <w:color w:val="auto"/>
                <w:sz w:val="24"/>
              </w:rPr>
            </w:pPr>
            <w:r>
              <w:rPr>
                <w:rFonts w:hAnsi="Calibri"/>
                <w:color w:val="auto"/>
                <w:sz w:val="24"/>
              </w:rPr>
              <w:t>建设性质</w:t>
            </w:r>
          </w:p>
        </w:tc>
        <w:tc>
          <w:tcPr>
            <w:tcW w:w="3498" w:type="dxa"/>
            <w:gridSpan w:val="3"/>
            <w:vAlign w:val="center"/>
          </w:tcPr>
          <w:p>
            <w:pPr>
              <w:spacing w:before="48" w:beforeLines="20" w:after="48" w:afterLines="20"/>
              <w:jc w:val="center"/>
              <w:rPr>
                <w:color w:val="auto"/>
                <w:sz w:val="24"/>
              </w:rPr>
            </w:pPr>
            <w:r>
              <w:rPr>
                <w:color w:val="auto"/>
                <w:sz w:val="24"/>
              </w:rPr>
              <w:t>■</w:t>
            </w:r>
            <w:r>
              <w:rPr>
                <w:rFonts w:hAnsi="Calibri"/>
                <w:color w:val="auto"/>
                <w:sz w:val="24"/>
              </w:rPr>
              <w:t>新建</w:t>
            </w:r>
            <w:r>
              <w:rPr>
                <w:color w:val="auto"/>
                <w:sz w:val="24"/>
              </w:rPr>
              <w:t xml:space="preserve">  □</w:t>
            </w:r>
            <w:r>
              <w:rPr>
                <w:rFonts w:hAnsi="Calibri"/>
                <w:color w:val="auto"/>
                <w:sz w:val="24"/>
              </w:rPr>
              <w:t>改扩建</w:t>
            </w:r>
            <w:r>
              <w:rPr>
                <w:color w:val="auto"/>
                <w:sz w:val="24"/>
              </w:rPr>
              <w:t xml:space="preserve">  □</w:t>
            </w:r>
            <w:r>
              <w:rPr>
                <w:rFonts w:hAnsi="Calibri"/>
                <w:color w:val="auto"/>
                <w:sz w:val="24"/>
              </w:rPr>
              <w:t>技改</w:t>
            </w:r>
          </w:p>
        </w:tc>
        <w:tc>
          <w:tcPr>
            <w:tcW w:w="1587" w:type="dxa"/>
            <w:gridSpan w:val="2"/>
            <w:vAlign w:val="center"/>
          </w:tcPr>
          <w:p>
            <w:pPr>
              <w:spacing w:before="48" w:beforeLines="20" w:after="48" w:afterLines="20"/>
              <w:jc w:val="center"/>
              <w:rPr>
                <w:color w:val="auto"/>
                <w:sz w:val="24"/>
              </w:rPr>
            </w:pPr>
            <w:r>
              <w:rPr>
                <w:rFonts w:hAnsi="Calibri"/>
                <w:color w:val="auto"/>
                <w:sz w:val="24"/>
              </w:rPr>
              <w:t>行业类别及代码</w:t>
            </w:r>
          </w:p>
        </w:tc>
        <w:tc>
          <w:tcPr>
            <w:tcW w:w="2703" w:type="dxa"/>
            <w:gridSpan w:val="3"/>
            <w:vAlign w:val="center"/>
          </w:tcPr>
          <w:p>
            <w:pPr>
              <w:jc w:val="center"/>
              <w:rPr>
                <w:color w:val="auto"/>
                <w:sz w:val="24"/>
              </w:rPr>
            </w:pPr>
            <w:r>
              <w:rPr>
                <w:color w:val="auto"/>
                <w:sz w:val="24"/>
              </w:rPr>
              <w:t>C3021</w:t>
            </w:r>
            <w:r>
              <w:rPr>
                <w:rFonts w:hAnsi="Calibri"/>
                <w:color w:val="auto"/>
                <w:sz w:val="24"/>
              </w:rPr>
              <w:t>水泥制品制造</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44" w:hRule="atLeast"/>
        </w:trPr>
        <w:tc>
          <w:tcPr>
            <w:tcW w:w="2174" w:type="dxa"/>
            <w:tcMar>
              <w:left w:w="85" w:type="dxa"/>
              <w:right w:w="85" w:type="dxa"/>
            </w:tcMar>
          </w:tcPr>
          <w:p>
            <w:pPr>
              <w:snapToGrid w:val="0"/>
              <w:jc w:val="center"/>
              <w:rPr>
                <w:color w:val="auto"/>
                <w:sz w:val="24"/>
              </w:rPr>
            </w:pPr>
            <w:r>
              <w:rPr>
                <w:rFonts w:hAnsi="Calibri"/>
                <w:color w:val="auto"/>
                <w:sz w:val="24"/>
              </w:rPr>
              <w:t>占地面积</w:t>
            </w:r>
          </w:p>
          <w:p>
            <w:pPr>
              <w:snapToGrid w:val="0"/>
              <w:jc w:val="center"/>
              <w:rPr>
                <w:color w:val="auto"/>
                <w:sz w:val="24"/>
              </w:rPr>
            </w:pPr>
            <w:r>
              <w:rPr>
                <w:rFonts w:hAnsi="Calibri"/>
                <w:color w:val="auto"/>
                <w:sz w:val="24"/>
              </w:rPr>
              <w:t>（平方米）</w:t>
            </w:r>
          </w:p>
        </w:tc>
        <w:tc>
          <w:tcPr>
            <w:tcW w:w="3498" w:type="dxa"/>
            <w:gridSpan w:val="3"/>
            <w:tcMar>
              <w:left w:w="85" w:type="dxa"/>
              <w:right w:w="85" w:type="dxa"/>
            </w:tcMar>
            <w:vAlign w:val="center"/>
          </w:tcPr>
          <w:p>
            <w:pPr>
              <w:snapToGrid w:val="0"/>
              <w:jc w:val="center"/>
              <w:rPr>
                <w:b/>
                <w:bCs/>
                <w:color w:val="auto"/>
                <w:sz w:val="24"/>
              </w:rPr>
            </w:pPr>
            <w:r>
              <w:rPr>
                <w:color w:val="auto"/>
                <w:sz w:val="24"/>
              </w:rPr>
              <w:t>10000</w:t>
            </w:r>
          </w:p>
        </w:tc>
        <w:tc>
          <w:tcPr>
            <w:tcW w:w="1587" w:type="dxa"/>
            <w:gridSpan w:val="2"/>
            <w:tcMar>
              <w:left w:w="85" w:type="dxa"/>
              <w:right w:w="85" w:type="dxa"/>
            </w:tcMar>
            <w:vAlign w:val="center"/>
          </w:tcPr>
          <w:p>
            <w:pPr>
              <w:snapToGrid w:val="0"/>
              <w:jc w:val="center"/>
              <w:rPr>
                <w:color w:val="auto"/>
                <w:sz w:val="24"/>
              </w:rPr>
            </w:pPr>
            <w:r>
              <w:rPr>
                <w:rFonts w:hAnsi="Calibri"/>
                <w:color w:val="auto"/>
                <w:sz w:val="24"/>
              </w:rPr>
              <w:t>建筑面积</w:t>
            </w:r>
          </w:p>
          <w:p>
            <w:pPr>
              <w:snapToGrid w:val="0"/>
              <w:jc w:val="center"/>
              <w:rPr>
                <w:color w:val="auto"/>
                <w:sz w:val="24"/>
              </w:rPr>
            </w:pPr>
            <w:r>
              <w:rPr>
                <w:rFonts w:hAnsi="Calibri"/>
                <w:color w:val="auto"/>
                <w:sz w:val="24"/>
              </w:rPr>
              <w:t>（平方米）</w:t>
            </w:r>
          </w:p>
        </w:tc>
        <w:tc>
          <w:tcPr>
            <w:tcW w:w="2703" w:type="dxa"/>
            <w:gridSpan w:val="3"/>
            <w:tcMar>
              <w:left w:w="85" w:type="dxa"/>
              <w:right w:w="85" w:type="dxa"/>
            </w:tcMar>
            <w:vAlign w:val="center"/>
          </w:tcPr>
          <w:p>
            <w:pPr>
              <w:pStyle w:val="122"/>
              <w:autoSpaceDE/>
              <w:autoSpaceDN/>
              <w:adjustRightInd/>
              <w:snapToGrid w:val="0"/>
              <w:spacing w:line="240" w:lineRule="auto"/>
              <w:textAlignment w:val="auto"/>
              <w:rPr>
                <w:rFonts w:ascii="Times New Roman" w:hAnsi="Times New Roman"/>
                <w:color w:val="auto"/>
                <w:kern w:val="2"/>
                <w:szCs w:val="24"/>
              </w:rPr>
            </w:pPr>
            <w:r>
              <w:rPr>
                <w:rFonts w:hint="eastAsia" w:ascii="Times New Roman" w:hAnsi="Times New Roman"/>
                <w:color w:val="auto"/>
                <w:kern w:val="2"/>
                <w:szCs w:val="24"/>
              </w:rPr>
              <w:t>3000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9" w:hRule="atLeast"/>
        </w:trPr>
        <w:tc>
          <w:tcPr>
            <w:tcW w:w="2174" w:type="dxa"/>
          </w:tcPr>
          <w:p>
            <w:pPr>
              <w:spacing w:before="48" w:beforeLines="20" w:after="48" w:afterLines="20"/>
              <w:jc w:val="center"/>
              <w:rPr>
                <w:color w:val="auto"/>
                <w:sz w:val="24"/>
              </w:rPr>
            </w:pPr>
            <w:r>
              <w:rPr>
                <w:rFonts w:hAnsi="Calibri"/>
                <w:color w:val="auto"/>
                <w:sz w:val="24"/>
              </w:rPr>
              <w:t>总投资</w:t>
            </w:r>
          </w:p>
          <w:p>
            <w:pPr>
              <w:spacing w:before="48" w:beforeLines="20" w:after="48" w:afterLines="20"/>
              <w:jc w:val="center"/>
              <w:rPr>
                <w:color w:val="auto"/>
                <w:sz w:val="24"/>
              </w:rPr>
            </w:pPr>
            <w:r>
              <w:rPr>
                <w:rFonts w:hAnsi="Calibri"/>
                <w:color w:val="auto"/>
                <w:sz w:val="24"/>
              </w:rPr>
              <w:t>（万元）</w:t>
            </w:r>
          </w:p>
        </w:tc>
        <w:tc>
          <w:tcPr>
            <w:tcW w:w="1682" w:type="dxa"/>
            <w:vAlign w:val="center"/>
          </w:tcPr>
          <w:p>
            <w:pPr>
              <w:spacing w:before="48" w:beforeLines="20" w:after="48" w:afterLines="20"/>
              <w:jc w:val="center"/>
              <w:rPr>
                <w:color w:val="auto"/>
                <w:sz w:val="24"/>
              </w:rPr>
            </w:pPr>
            <w:r>
              <w:rPr>
                <w:rFonts w:hint="eastAsia"/>
                <w:color w:val="auto"/>
                <w:sz w:val="24"/>
              </w:rPr>
              <w:t>1512</w:t>
            </w:r>
          </w:p>
        </w:tc>
        <w:tc>
          <w:tcPr>
            <w:tcW w:w="1816" w:type="dxa"/>
            <w:gridSpan w:val="2"/>
            <w:vAlign w:val="center"/>
          </w:tcPr>
          <w:p>
            <w:pPr>
              <w:spacing w:before="48" w:beforeLines="20" w:after="48" w:afterLines="20"/>
              <w:jc w:val="center"/>
              <w:rPr>
                <w:color w:val="auto"/>
                <w:sz w:val="24"/>
              </w:rPr>
            </w:pPr>
            <w:r>
              <w:rPr>
                <w:rFonts w:hAnsi="Calibri"/>
                <w:color w:val="auto"/>
                <w:sz w:val="24"/>
              </w:rPr>
              <w:t>其中：环保投资（万元）</w:t>
            </w:r>
          </w:p>
        </w:tc>
        <w:tc>
          <w:tcPr>
            <w:tcW w:w="1587" w:type="dxa"/>
            <w:gridSpan w:val="2"/>
            <w:vAlign w:val="center"/>
          </w:tcPr>
          <w:p>
            <w:pPr>
              <w:spacing w:before="48" w:beforeLines="20" w:after="48" w:afterLines="20"/>
              <w:jc w:val="center"/>
              <w:rPr>
                <w:color w:val="auto"/>
                <w:sz w:val="24"/>
              </w:rPr>
            </w:pPr>
            <w:r>
              <w:rPr>
                <w:color w:val="auto"/>
                <w:sz w:val="24"/>
              </w:rPr>
              <w:t>150</w:t>
            </w:r>
          </w:p>
        </w:tc>
        <w:tc>
          <w:tcPr>
            <w:tcW w:w="1604" w:type="dxa"/>
            <w:gridSpan w:val="2"/>
            <w:vAlign w:val="center"/>
          </w:tcPr>
          <w:p>
            <w:pPr>
              <w:spacing w:before="48" w:beforeLines="20" w:after="48" w:afterLines="20"/>
              <w:jc w:val="center"/>
              <w:rPr>
                <w:color w:val="auto"/>
                <w:sz w:val="24"/>
              </w:rPr>
            </w:pPr>
            <w:r>
              <w:rPr>
                <w:rFonts w:hAnsi="Calibri"/>
                <w:color w:val="auto"/>
                <w:sz w:val="24"/>
              </w:rPr>
              <w:t>环保投资占总投资比例</w:t>
            </w:r>
          </w:p>
        </w:tc>
        <w:tc>
          <w:tcPr>
            <w:tcW w:w="1099" w:type="dxa"/>
            <w:vAlign w:val="center"/>
          </w:tcPr>
          <w:p>
            <w:pPr>
              <w:spacing w:before="48" w:beforeLines="20" w:after="48" w:afterLines="20"/>
              <w:jc w:val="center"/>
              <w:rPr>
                <w:color w:val="auto"/>
                <w:sz w:val="24"/>
              </w:rPr>
            </w:pPr>
            <w:r>
              <w:rPr>
                <w:rFonts w:hint="eastAsia"/>
                <w:color w:val="auto"/>
                <w:sz w:val="24"/>
              </w:rPr>
              <w:t>9.9</w:t>
            </w:r>
            <w:r>
              <w:rPr>
                <w:color w:val="auto"/>
                <w:sz w:val="24"/>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3" w:hRule="atLeast"/>
        </w:trPr>
        <w:tc>
          <w:tcPr>
            <w:tcW w:w="2174" w:type="dxa"/>
          </w:tcPr>
          <w:p>
            <w:pPr>
              <w:snapToGrid w:val="0"/>
              <w:spacing w:before="48" w:beforeLines="20" w:after="48" w:afterLines="20"/>
              <w:jc w:val="center"/>
              <w:rPr>
                <w:color w:val="auto"/>
                <w:sz w:val="24"/>
              </w:rPr>
            </w:pPr>
            <w:r>
              <w:rPr>
                <w:rFonts w:hAnsi="Calibri"/>
                <w:color w:val="auto"/>
                <w:sz w:val="24"/>
              </w:rPr>
              <w:t>投产日期</w:t>
            </w:r>
          </w:p>
        </w:tc>
        <w:tc>
          <w:tcPr>
            <w:tcW w:w="7788" w:type="dxa"/>
            <w:gridSpan w:val="8"/>
            <w:vAlign w:val="center"/>
          </w:tcPr>
          <w:p>
            <w:pPr>
              <w:snapToGrid w:val="0"/>
              <w:spacing w:before="48" w:beforeLines="20" w:after="48" w:afterLines="20"/>
              <w:jc w:val="center"/>
              <w:rPr>
                <w:color w:val="auto"/>
                <w:sz w:val="24"/>
              </w:rPr>
            </w:pPr>
            <w:r>
              <w:rPr>
                <w:color w:val="auto"/>
                <w:sz w:val="24"/>
              </w:rPr>
              <w:t>2017</w:t>
            </w:r>
            <w:r>
              <w:rPr>
                <w:rFonts w:hAnsi="Calibri"/>
                <w:color w:val="auto"/>
                <w:sz w:val="24"/>
              </w:rPr>
              <w:t>年</w:t>
            </w:r>
            <w:r>
              <w:rPr>
                <w:color w:val="auto"/>
                <w:sz w:val="24"/>
              </w:rPr>
              <w:t>11</w:t>
            </w:r>
            <w:r>
              <w:rPr>
                <w:rFonts w:hAnsi="Calibri"/>
                <w:color w:val="auto"/>
                <w:sz w:val="24"/>
              </w:rPr>
              <w:t>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086" w:hRule="atLeast"/>
        </w:trPr>
        <w:tc>
          <w:tcPr>
            <w:tcW w:w="9962" w:type="dxa"/>
            <w:gridSpan w:val="9"/>
          </w:tcPr>
          <w:p>
            <w:pPr>
              <w:snapToGrid w:val="0"/>
              <w:spacing w:line="360" w:lineRule="auto"/>
              <w:rPr>
                <w:b/>
                <w:color w:val="auto"/>
                <w:sz w:val="24"/>
              </w:rPr>
            </w:pPr>
            <w:r>
              <w:rPr>
                <w:rFonts w:hAnsi="Calibri"/>
                <w:b/>
                <w:color w:val="auto"/>
                <w:sz w:val="24"/>
              </w:rPr>
              <w:t>一、工程内容及规模</w:t>
            </w:r>
            <w:r>
              <w:rPr>
                <w:b/>
                <w:color w:val="auto"/>
                <w:sz w:val="24"/>
              </w:rPr>
              <w:t>:</w:t>
            </w:r>
          </w:p>
          <w:p>
            <w:pPr>
              <w:snapToGrid w:val="0"/>
              <w:spacing w:line="360" w:lineRule="auto"/>
              <w:rPr>
                <w:b/>
                <w:bCs/>
                <w:color w:val="auto"/>
                <w:sz w:val="24"/>
              </w:rPr>
            </w:pPr>
            <w:r>
              <w:rPr>
                <w:b/>
                <w:bCs/>
                <w:color w:val="auto"/>
                <w:sz w:val="24"/>
              </w:rPr>
              <w:t>1</w:t>
            </w:r>
            <w:r>
              <w:rPr>
                <w:rFonts w:hAnsi="Calibri"/>
                <w:b/>
                <w:bCs/>
                <w:color w:val="auto"/>
                <w:sz w:val="24"/>
              </w:rPr>
              <w:t>、项目概况</w:t>
            </w:r>
          </w:p>
          <w:p>
            <w:pPr>
              <w:snapToGrid w:val="0"/>
              <w:spacing w:line="360" w:lineRule="auto"/>
              <w:ind w:firstLine="480" w:firstLineChars="200"/>
              <w:rPr>
                <w:color w:val="auto"/>
                <w:sz w:val="24"/>
              </w:rPr>
            </w:pPr>
            <w:r>
              <w:rPr>
                <w:rFonts w:hAnsi="Calibri"/>
                <w:color w:val="auto"/>
                <w:sz w:val="24"/>
              </w:rPr>
              <w:t>近年来，混凝土的商品化生产能够因为生产的高度专业化和集中化等特点为建筑工程中节省水泥及其沙石材料，提高工程质量，改进施工组织，减轻劳动强度，降低生产成本提供可能，同时也因为能节省施工用地，改善劳动条件，减少环境污染而使人类受益。同时，推广商品混凝土是推广散装水泥的重要先导措施，因此，发展商品混凝土行业受到国家有关部门的高度重视。</w:t>
            </w:r>
          </w:p>
          <w:p>
            <w:pPr>
              <w:snapToGrid w:val="0"/>
              <w:spacing w:line="360" w:lineRule="auto"/>
              <w:ind w:firstLine="480" w:firstLineChars="200"/>
              <w:rPr>
                <w:color w:val="auto"/>
                <w:sz w:val="24"/>
              </w:rPr>
            </w:pPr>
            <w:r>
              <w:rPr>
                <w:rFonts w:hAnsi="Calibri"/>
                <w:color w:val="auto"/>
                <w:sz w:val="24"/>
              </w:rPr>
              <w:t>普宁市鹏润混凝土有限公司于</w:t>
            </w:r>
            <w:r>
              <w:rPr>
                <w:color w:val="auto"/>
                <w:sz w:val="24"/>
              </w:rPr>
              <w:t>2017</w:t>
            </w:r>
            <w:r>
              <w:rPr>
                <w:rFonts w:hAnsi="Calibri"/>
                <w:color w:val="auto"/>
                <w:sz w:val="24"/>
              </w:rPr>
              <w:t>年投资建设商品混凝土搅拌站建设项目，本项目位普宁</w:t>
            </w:r>
            <w:r>
              <w:rPr>
                <w:rFonts w:hint="eastAsia" w:hAnsi="Calibri"/>
                <w:color w:val="auto"/>
                <w:sz w:val="24"/>
              </w:rPr>
              <w:t>市</w:t>
            </w:r>
            <w:r>
              <w:rPr>
                <w:rFonts w:hAnsi="Calibri"/>
                <w:color w:val="auto"/>
                <w:sz w:val="24"/>
              </w:rPr>
              <w:t>军埠镇大长陇工业区</w:t>
            </w:r>
            <w:r>
              <w:rPr>
                <w:rFonts w:hint="eastAsia"/>
                <w:color w:val="auto"/>
                <w:sz w:val="24"/>
              </w:rPr>
              <w:t>荣祥</w:t>
            </w:r>
            <w:r>
              <w:rPr>
                <w:color w:val="auto"/>
                <w:sz w:val="24"/>
              </w:rPr>
              <w:t>楼</w:t>
            </w:r>
            <w:r>
              <w:rPr>
                <w:rFonts w:hAnsi="Calibri"/>
                <w:color w:val="auto"/>
                <w:sz w:val="24"/>
              </w:rPr>
              <w:t>（地理坐标为</w:t>
            </w:r>
            <w:r>
              <w:rPr>
                <w:color w:val="auto"/>
                <w:sz w:val="24"/>
              </w:rPr>
              <w:t>N23.249935°</w:t>
            </w:r>
            <w:r>
              <w:rPr>
                <w:rFonts w:hAnsi="Calibri"/>
                <w:color w:val="auto"/>
                <w:sz w:val="24"/>
              </w:rPr>
              <w:t>、</w:t>
            </w:r>
            <w:r>
              <w:rPr>
                <w:color w:val="auto"/>
                <w:sz w:val="24"/>
              </w:rPr>
              <w:t>E116.281566°)</w:t>
            </w:r>
            <w:r>
              <w:rPr>
                <w:rFonts w:hAnsi="Calibri"/>
                <w:color w:val="auto"/>
                <w:sz w:val="24"/>
              </w:rPr>
              <w:t>，占地面积</w:t>
            </w:r>
            <w:r>
              <w:rPr>
                <w:color w:val="auto"/>
                <w:sz w:val="24"/>
              </w:rPr>
              <w:t>10000m</w:t>
            </w:r>
            <w:r>
              <w:rPr>
                <w:color w:val="auto"/>
                <w:sz w:val="24"/>
                <w:vertAlign w:val="superscript"/>
              </w:rPr>
              <w:t>2</w:t>
            </w:r>
            <w:r>
              <w:rPr>
                <w:rFonts w:hAnsi="Calibri"/>
                <w:color w:val="auto"/>
                <w:sz w:val="24"/>
              </w:rPr>
              <w:t>，建筑面积</w:t>
            </w:r>
            <w:r>
              <w:rPr>
                <w:color w:val="auto"/>
                <w:sz w:val="24"/>
              </w:rPr>
              <w:t>3000m</w:t>
            </w:r>
            <w:r>
              <w:rPr>
                <w:color w:val="auto"/>
                <w:sz w:val="24"/>
                <w:vertAlign w:val="superscript"/>
              </w:rPr>
              <w:t>2</w:t>
            </w:r>
            <w:r>
              <w:rPr>
                <w:rFonts w:hAnsi="Calibri"/>
                <w:color w:val="auto"/>
                <w:sz w:val="24"/>
              </w:rPr>
              <w:t>，项目年产商品混凝土</w:t>
            </w:r>
            <w:r>
              <w:rPr>
                <w:color w:val="auto"/>
                <w:sz w:val="24"/>
              </w:rPr>
              <w:t>32</w:t>
            </w:r>
            <w:r>
              <w:rPr>
                <w:rFonts w:hAnsi="Calibri"/>
                <w:color w:val="auto"/>
                <w:sz w:val="24"/>
              </w:rPr>
              <w:t>万吨。</w:t>
            </w:r>
            <w:r>
              <w:rPr>
                <w:rFonts w:hint="eastAsia" w:hAnsi="Calibri"/>
                <w:color w:val="auto"/>
                <w:sz w:val="24"/>
              </w:rPr>
              <w:t>因生产</w:t>
            </w:r>
            <w:r>
              <w:rPr>
                <w:rFonts w:hAnsi="Calibri"/>
                <w:color w:val="auto"/>
                <w:sz w:val="24"/>
              </w:rPr>
              <w:t>发展需要，普宁市鹏润混凝土有限公司</w:t>
            </w:r>
            <w:r>
              <w:rPr>
                <w:rFonts w:hint="eastAsia" w:hAnsi="Calibri"/>
                <w:color w:val="auto"/>
                <w:sz w:val="24"/>
              </w:rPr>
              <w:t>拟</w:t>
            </w:r>
            <w:r>
              <w:rPr>
                <w:rFonts w:hAnsi="Calibri"/>
                <w:color w:val="auto"/>
                <w:sz w:val="24"/>
              </w:rPr>
              <w:t>于本项目</w:t>
            </w:r>
            <w:r>
              <w:rPr>
                <w:rFonts w:hint="eastAsia" w:hAnsi="Calibri"/>
                <w:color w:val="auto"/>
                <w:sz w:val="24"/>
              </w:rPr>
              <w:t>用</w:t>
            </w:r>
            <w:r>
              <w:rPr>
                <w:rFonts w:hAnsi="Calibri"/>
                <w:color w:val="auto"/>
                <w:sz w:val="24"/>
              </w:rPr>
              <w:t>地范围内</w:t>
            </w:r>
            <w:r>
              <w:rPr>
                <w:rFonts w:hint="eastAsia" w:hAnsi="Calibri"/>
                <w:color w:val="auto"/>
                <w:sz w:val="24"/>
              </w:rPr>
              <w:t>新增</w:t>
            </w:r>
            <w:r>
              <w:rPr>
                <w:rFonts w:hAnsi="Calibri"/>
                <w:color w:val="auto"/>
                <w:sz w:val="24"/>
              </w:rPr>
              <w:t>一条</w:t>
            </w:r>
            <w:r>
              <w:rPr>
                <w:rFonts w:hint="eastAsia" w:hAnsi="Calibri"/>
                <w:color w:val="auto"/>
                <w:sz w:val="24"/>
              </w:rPr>
              <w:t>干法</w:t>
            </w:r>
            <w:r>
              <w:rPr>
                <w:rFonts w:hAnsi="Calibri"/>
                <w:bCs/>
                <w:color w:val="auto"/>
                <w:sz w:val="24"/>
              </w:rPr>
              <w:t>制砂生产线</w:t>
            </w:r>
            <w:r>
              <w:rPr>
                <w:rFonts w:hAnsi="Calibri"/>
                <w:color w:val="auto"/>
                <w:sz w:val="24"/>
              </w:rPr>
              <w:t>，机制砂是指通过制砂机和其它附属设备加工而成的砂子，成品更加规则，可以根据不同工艺要求加工成不同规则和大小的砂子。项目</w:t>
            </w:r>
            <w:r>
              <w:rPr>
                <w:rFonts w:hint="eastAsia" w:hAnsi="Calibri"/>
                <w:color w:val="auto"/>
                <w:sz w:val="24"/>
              </w:rPr>
              <w:t>机</w:t>
            </w:r>
            <w:r>
              <w:rPr>
                <w:rFonts w:hAnsi="Calibri"/>
                <w:color w:val="auto"/>
                <w:sz w:val="24"/>
              </w:rPr>
              <w:t>制砂生产线</w:t>
            </w:r>
            <w:r>
              <w:rPr>
                <w:rFonts w:hint="eastAsia" w:hAnsi="Calibri"/>
                <w:color w:val="auto"/>
                <w:sz w:val="24"/>
              </w:rPr>
              <w:t>年</w:t>
            </w:r>
            <w:r>
              <w:rPr>
                <w:rFonts w:hAnsi="Calibri"/>
                <w:color w:val="auto"/>
                <w:sz w:val="24"/>
              </w:rPr>
              <w:t>生</w:t>
            </w:r>
            <w:r>
              <w:rPr>
                <w:color w:val="auto"/>
                <w:sz w:val="24"/>
              </w:rPr>
              <w:t>产</w:t>
            </w:r>
            <w:r>
              <w:rPr>
                <w:rFonts w:hint="eastAsia"/>
                <w:color w:val="auto"/>
                <w:sz w:val="24"/>
              </w:rPr>
              <w:t>量</w:t>
            </w:r>
            <w:r>
              <w:rPr>
                <w:color w:val="auto"/>
                <w:sz w:val="24"/>
              </w:rPr>
              <w:t>为5</w:t>
            </w:r>
            <w:r>
              <w:rPr>
                <w:rFonts w:hint="eastAsia"/>
                <w:color w:val="auto"/>
                <w:sz w:val="24"/>
              </w:rPr>
              <w:t>万吨</w:t>
            </w:r>
            <w:r>
              <w:rPr>
                <w:color w:val="auto"/>
                <w:sz w:val="24"/>
              </w:rPr>
              <w:t>，</w:t>
            </w:r>
            <w:r>
              <w:rPr>
                <w:rFonts w:hint="eastAsia"/>
                <w:color w:val="auto"/>
                <w:sz w:val="24"/>
              </w:rPr>
              <w:t>仅作为于本项目混凝土成品的原料，内部使用不外售。项目混</w:t>
            </w:r>
            <w:r>
              <w:rPr>
                <w:color w:val="auto"/>
                <w:sz w:val="24"/>
              </w:rPr>
              <w:t>凝土搅拌生产线</w:t>
            </w:r>
            <w:r>
              <w:rPr>
                <w:rFonts w:hint="eastAsia"/>
                <w:color w:val="auto"/>
                <w:sz w:val="24"/>
              </w:rPr>
              <w:t>建成投产以来未受到周边村民或单位的环境污染和环境违法行为的投诉或举报。</w:t>
            </w:r>
          </w:p>
          <w:p>
            <w:pPr>
              <w:snapToGrid w:val="0"/>
              <w:spacing w:line="360" w:lineRule="auto"/>
              <w:ind w:firstLine="480" w:firstLineChars="200"/>
              <w:rPr>
                <w:color w:val="auto"/>
                <w:sz w:val="24"/>
              </w:rPr>
            </w:pPr>
            <w:r>
              <w:rPr>
                <w:rFonts w:hint="eastAsia"/>
                <w:color w:val="auto"/>
                <w:sz w:val="24"/>
              </w:rPr>
              <w:t>揭阳市生态环境局普宁分局于2019年</w:t>
            </w:r>
            <w:r>
              <w:rPr>
                <w:color w:val="auto"/>
                <w:sz w:val="24"/>
              </w:rPr>
              <w:t>12</w:t>
            </w:r>
            <w:r>
              <w:rPr>
                <w:rFonts w:hint="eastAsia"/>
                <w:color w:val="auto"/>
                <w:sz w:val="24"/>
              </w:rPr>
              <w:t>月</w:t>
            </w:r>
            <w:r>
              <w:rPr>
                <w:color w:val="auto"/>
                <w:sz w:val="24"/>
              </w:rPr>
              <w:t>3</w:t>
            </w:r>
            <w:r>
              <w:rPr>
                <w:rFonts w:hint="eastAsia"/>
                <w:color w:val="auto"/>
                <w:sz w:val="24"/>
              </w:rPr>
              <w:t>日经过现场检查发现普宁市鹏润混凝土有限公司商品混凝土项目需要配套建设的环境保护设施未经环保部门验收，就擅自于2017年</w:t>
            </w:r>
            <w:r>
              <w:rPr>
                <w:color w:val="auto"/>
                <w:sz w:val="24"/>
              </w:rPr>
              <w:t>11</w:t>
            </w:r>
            <w:r>
              <w:rPr>
                <w:rFonts w:hint="eastAsia"/>
                <w:color w:val="auto"/>
                <w:sz w:val="24"/>
              </w:rPr>
              <w:t>月投产至今。违反了《建设项目环境保护管理条例》第十五条、十七条、十九条第一款的规定。因此揭阳市生态环境局普宁分局根据相关法律法规向普宁市鹏润混凝土有限公司发出责改决定书（揭市环（普宁）责改﹝2019﹞</w:t>
            </w:r>
            <w:r>
              <w:rPr>
                <w:color w:val="auto"/>
                <w:sz w:val="24"/>
              </w:rPr>
              <w:t>33</w:t>
            </w:r>
            <w:r>
              <w:rPr>
                <w:rFonts w:hint="eastAsia"/>
                <w:color w:val="auto"/>
                <w:sz w:val="24"/>
              </w:rPr>
              <w:t>号）（详见附件11），责令普宁鹏润混凝土有限公司立即停止上述环境违法行为，并于2019年</w:t>
            </w:r>
            <w:r>
              <w:rPr>
                <w:color w:val="auto"/>
                <w:sz w:val="24"/>
              </w:rPr>
              <w:t>12</w:t>
            </w:r>
            <w:r>
              <w:rPr>
                <w:rFonts w:hint="eastAsia"/>
                <w:color w:val="auto"/>
                <w:sz w:val="24"/>
              </w:rPr>
              <w:t>月</w:t>
            </w:r>
            <w:r>
              <w:rPr>
                <w:color w:val="auto"/>
                <w:sz w:val="24"/>
              </w:rPr>
              <w:t>9</w:t>
            </w:r>
            <w:r>
              <w:rPr>
                <w:rFonts w:hint="eastAsia"/>
                <w:color w:val="auto"/>
                <w:sz w:val="24"/>
              </w:rPr>
              <w:t>日发出处罚告知书“揭市环（普宁）罚告字﹝2019﹞</w:t>
            </w:r>
            <w:r>
              <w:rPr>
                <w:color w:val="auto"/>
                <w:sz w:val="24"/>
              </w:rPr>
              <w:t>28</w:t>
            </w:r>
            <w:r>
              <w:rPr>
                <w:rFonts w:hint="eastAsia"/>
                <w:color w:val="auto"/>
                <w:sz w:val="24"/>
              </w:rPr>
              <w:t>号”（详见附件12）。普宁市鹏润混凝土有限公司接受相关处罚决定，并着手补办建设项目环境影响评价文件报批手续，现进行环境影响评价文件报批。</w:t>
            </w:r>
          </w:p>
          <w:p>
            <w:pPr>
              <w:snapToGrid w:val="0"/>
              <w:spacing w:line="360" w:lineRule="auto"/>
              <w:ind w:firstLine="480" w:firstLineChars="200"/>
              <w:rPr>
                <w:color w:val="auto"/>
                <w:sz w:val="24"/>
              </w:rPr>
            </w:pPr>
            <w:r>
              <w:rPr>
                <w:rFonts w:hAnsi="Calibri"/>
                <w:color w:val="auto"/>
                <w:sz w:val="24"/>
              </w:rPr>
              <w:t>根据《建设项目环境保护管理条例》（国务院第</w:t>
            </w:r>
            <w:r>
              <w:rPr>
                <w:color w:val="auto"/>
                <w:sz w:val="24"/>
              </w:rPr>
              <w:t>682</w:t>
            </w:r>
            <w:r>
              <w:rPr>
                <w:rFonts w:hAnsi="Calibri"/>
                <w:color w:val="auto"/>
                <w:sz w:val="24"/>
              </w:rPr>
              <w:t>号令）、《中华人民共和国环境影响评价法》（</w:t>
            </w:r>
            <w:r>
              <w:rPr>
                <w:color w:val="auto"/>
                <w:sz w:val="24"/>
              </w:rPr>
              <w:t>2018</w:t>
            </w:r>
            <w:r>
              <w:rPr>
                <w:rFonts w:hint="eastAsia"/>
                <w:color w:val="auto"/>
                <w:sz w:val="24"/>
              </w:rPr>
              <w:t>年</w:t>
            </w:r>
            <w:r>
              <w:rPr>
                <w:color w:val="auto"/>
                <w:sz w:val="24"/>
              </w:rPr>
              <w:t>修正版</w:t>
            </w:r>
            <w:r>
              <w:rPr>
                <w:rFonts w:hAnsi="Calibri"/>
                <w:color w:val="auto"/>
                <w:sz w:val="24"/>
              </w:rPr>
              <w:t>）及《建设项目环境影响评价分类管理名录》</w:t>
            </w:r>
            <w:r>
              <w:rPr>
                <w:rFonts w:hint="eastAsia"/>
                <w:color w:val="auto"/>
                <w:sz w:val="24"/>
              </w:rPr>
              <w:t>（中华人民共和国生态环境部令第1号）</w:t>
            </w:r>
            <w:r>
              <w:rPr>
                <w:rFonts w:hAnsi="Calibri"/>
                <w:color w:val="auto"/>
                <w:sz w:val="24"/>
              </w:rPr>
              <w:t>中有关规定：</w:t>
            </w:r>
            <w:r>
              <w:rPr>
                <w:color w:val="auto"/>
                <w:sz w:val="24"/>
              </w:rPr>
              <w:t>“</w:t>
            </w:r>
            <w:r>
              <w:rPr>
                <w:rFonts w:hAnsi="Calibri"/>
                <w:color w:val="auto"/>
                <w:sz w:val="24"/>
              </w:rPr>
              <w:t>十九、非金属矿物制品业</w:t>
            </w:r>
            <w:r>
              <w:rPr>
                <w:color w:val="auto"/>
                <w:sz w:val="24"/>
              </w:rPr>
              <w:t>—50</w:t>
            </w:r>
            <w:r>
              <w:rPr>
                <w:rFonts w:hAnsi="Calibri"/>
                <w:color w:val="auto"/>
                <w:sz w:val="24"/>
              </w:rPr>
              <w:t>、砼结构构件制造、商品混凝土加工</w:t>
            </w:r>
            <w:r>
              <w:rPr>
                <w:color w:val="auto"/>
                <w:sz w:val="24"/>
              </w:rPr>
              <w:t> ”</w:t>
            </w:r>
            <w:r>
              <w:rPr>
                <w:rFonts w:hAnsi="Calibri"/>
                <w:color w:val="auto"/>
                <w:sz w:val="24"/>
              </w:rPr>
              <w:t>，需编制环境影响报告表，因此，按上述规定本项目应办环境影响报告表。</w:t>
            </w:r>
          </w:p>
          <w:p>
            <w:pPr>
              <w:snapToGrid w:val="0"/>
              <w:spacing w:line="360" w:lineRule="auto"/>
              <w:ind w:firstLine="480" w:firstLineChars="200"/>
              <w:rPr>
                <w:b/>
                <w:color w:val="auto"/>
                <w:sz w:val="24"/>
              </w:rPr>
            </w:pPr>
            <w:r>
              <w:rPr>
                <w:rFonts w:hAnsi="Calibri"/>
                <w:color w:val="auto"/>
                <w:sz w:val="24"/>
              </w:rPr>
              <w:t>受普宁市鹏润混凝土有限公司的委托，</w:t>
            </w:r>
            <w:r>
              <w:rPr>
                <w:rFonts w:hint="eastAsia" w:hAnsi="Calibri"/>
                <w:color w:val="auto"/>
                <w:sz w:val="24"/>
              </w:rPr>
              <w:t>惠州</w:t>
            </w:r>
            <w:r>
              <w:rPr>
                <w:rFonts w:hAnsi="Calibri"/>
                <w:color w:val="auto"/>
                <w:sz w:val="24"/>
              </w:rPr>
              <w:t>宏环环保科技</w:t>
            </w:r>
            <w:r>
              <w:rPr>
                <w:rFonts w:hint="eastAsia" w:hAnsi="Calibri"/>
                <w:color w:val="auto"/>
                <w:sz w:val="24"/>
              </w:rPr>
              <w:t>有限公司</w:t>
            </w:r>
            <w:r>
              <w:rPr>
                <w:rFonts w:hAnsi="Calibri"/>
                <w:color w:val="auto"/>
                <w:sz w:val="24"/>
              </w:rPr>
              <w:t>承担了本项目的环境影响评价工作。评价单位接受该任务后，即组织有关人员进行现场踏勘、区域环境现状调查和基础资料收集，并对建项目的建设内容和排污状况进行了资料调研和深入分析，在此基础上，按照国家相关环保法律、法规、污染防治技术政策的有关规定及环境影响评价技术导则要求，编制了《</w:t>
            </w:r>
            <w:r>
              <w:rPr>
                <w:rFonts w:hint="eastAsia" w:hAnsi="Calibri"/>
                <w:color w:val="auto"/>
                <w:sz w:val="24"/>
              </w:rPr>
              <w:t>商品混凝土建设项目</w:t>
            </w:r>
            <w:r>
              <w:rPr>
                <w:rFonts w:hAnsi="Calibri"/>
                <w:color w:val="auto"/>
                <w:sz w:val="24"/>
              </w:rPr>
              <w:t>环境影响报告表》。</w:t>
            </w:r>
          </w:p>
          <w:p>
            <w:pPr>
              <w:snapToGrid w:val="0"/>
              <w:spacing w:line="360" w:lineRule="auto"/>
              <w:ind w:firstLine="482" w:firstLineChars="200"/>
              <w:rPr>
                <w:b/>
                <w:color w:val="auto"/>
                <w:sz w:val="24"/>
              </w:rPr>
            </w:pPr>
            <w:r>
              <w:rPr>
                <w:b/>
                <w:color w:val="auto"/>
                <w:sz w:val="24"/>
              </w:rPr>
              <w:t>2</w:t>
            </w:r>
            <w:r>
              <w:rPr>
                <w:rFonts w:hAnsi="Calibri"/>
                <w:b/>
                <w:color w:val="auto"/>
                <w:sz w:val="24"/>
              </w:rPr>
              <w:t>、建设内容</w:t>
            </w:r>
          </w:p>
          <w:p>
            <w:pPr>
              <w:snapToGrid w:val="0"/>
              <w:spacing w:line="360" w:lineRule="auto"/>
              <w:ind w:firstLine="480" w:firstLineChars="200"/>
              <w:rPr>
                <w:color w:val="auto"/>
                <w:kern w:val="0"/>
                <w:sz w:val="24"/>
              </w:rPr>
            </w:pPr>
            <w:r>
              <w:rPr>
                <w:rFonts w:hAnsi="Calibri"/>
                <w:color w:val="auto"/>
                <w:sz w:val="24"/>
              </w:rPr>
              <w:t>本项目</w:t>
            </w:r>
            <w:r>
              <w:rPr>
                <w:rFonts w:hAnsi="Calibri"/>
                <w:bCs/>
                <w:color w:val="auto"/>
                <w:sz w:val="24"/>
              </w:rPr>
              <w:t>位于</w:t>
            </w:r>
            <w:r>
              <w:rPr>
                <w:rFonts w:hAnsi="Calibri"/>
                <w:color w:val="auto"/>
                <w:sz w:val="24"/>
              </w:rPr>
              <w:t>普宁</w:t>
            </w:r>
            <w:r>
              <w:rPr>
                <w:rFonts w:hint="eastAsia" w:hAnsi="Calibri"/>
                <w:color w:val="auto"/>
                <w:sz w:val="24"/>
              </w:rPr>
              <w:t>市</w:t>
            </w:r>
            <w:r>
              <w:rPr>
                <w:rFonts w:hAnsi="Calibri"/>
                <w:color w:val="auto"/>
                <w:sz w:val="24"/>
              </w:rPr>
              <w:t>军埠镇大长陇工业区</w:t>
            </w:r>
            <w:r>
              <w:rPr>
                <w:rFonts w:hint="eastAsia" w:hAnsi="Calibri"/>
                <w:color w:val="auto"/>
                <w:sz w:val="24"/>
              </w:rPr>
              <w:t>荣祥</w:t>
            </w:r>
            <w:r>
              <w:rPr>
                <w:rFonts w:hAnsi="Calibri"/>
                <w:color w:val="auto"/>
                <w:sz w:val="24"/>
              </w:rPr>
              <w:t>楼</w:t>
            </w:r>
            <w:r>
              <w:rPr>
                <w:rFonts w:hAnsi="Calibri"/>
                <w:bCs/>
                <w:color w:val="auto"/>
                <w:sz w:val="24"/>
              </w:rPr>
              <w:t>，总投资</w:t>
            </w:r>
            <w:r>
              <w:rPr>
                <w:rFonts w:hint="eastAsia"/>
                <w:bCs/>
                <w:color w:val="auto"/>
                <w:sz w:val="24"/>
              </w:rPr>
              <w:t>1512</w:t>
            </w:r>
            <w:r>
              <w:rPr>
                <w:rFonts w:hAnsi="Calibri"/>
                <w:bCs/>
                <w:color w:val="auto"/>
                <w:sz w:val="24"/>
              </w:rPr>
              <w:t>万元，占地面积</w:t>
            </w:r>
            <w:r>
              <w:rPr>
                <w:bCs/>
                <w:color w:val="auto"/>
                <w:sz w:val="24"/>
              </w:rPr>
              <w:t>10000</w:t>
            </w:r>
            <w:r>
              <w:rPr>
                <w:rFonts w:hAnsi="Calibri"/>
                <w:bCs/>
                <w:color w:val="auto"/>
                <w:sz w:val="24"/>
              </w:rPr>
              <w:t>平方米，建筑面积</w:t>
            </w:r>
            <w:r>
              <w:rPr>
                <w:bCs/>
                <w:color w:val="auto"/>
                <w:sz w:val="24"/>
              </w:rPr>
              <w:t>3000平方米</w:t>
            </w:r>
            <w:r>
              <w:rPr>
                <w:rFonts w:hint="eastAsia" w:hAnsi="Calibri"/>
                <w:bCs/>
                <w:color w:val="auto"/>
                <w:sz w:val="24"/>
              </w:rPr>
              <w:t>，</w:t>
            </w:r>
            <w:r>
              <w:rPr>
                <w:rFonts w:hAnsi="Calibri"/>
                <w:bCs/>
                <w:color w:val="auto"/>
                <w:sz w:val="24"/>
              </w:rPr>
              <w:t>绿化面积1500</w:t>
            </w:r>
            <w:r>
              <w:rPr>
                <w:rFonts w:hint="eastAsia" w:hAnsi="Calibri"/>
                <w:bCs/>
                <w:color w:val="auto"/>
                <w:sz w:val="24"/>
              </w:rPr>
              <w:t>平方</w:t>
            </w:r>
            <w:r>
              <w:rPr>
                <w:rFonts w:hAnsi="Calibri"/>
                <w:bCs/>
                <w:color w:val="auto"/>
                <w:sz w:val="24"/>
              </w:rPr>
              <w:t>米。主要建设</w:t>
            </w:r>
            <w:r>
              <w:rPr>
                <w:bCs/>
                <w:color w:val="auto"/>
                <w:sz w:val="24"/>
              </w:rPr>
              <w:t>2</w:t>
            </w:r>
            <w:r>
              <w:rPr>
                <w:rFonts w:hAnsi="Calibri"/>
                <w:bCs/>
                <w:color w:val="auto"/>
                <w:sz w:val="24"/>
              </w:rPr>
              <w:t>条混凝土搅拌生产线及</w:t>
            </w:r>
            <w:r>
              <w:rPr>
                <w:bCs/>
                <w:color w:val="auto"/>
                <w:sz w:val="24"/>
              </w:rPr>
              <w:t>1</w:t>
            </w:r>
            <w:r>
              <w:rPr>
                <w:rFonts w:hAnsi="Calibri"/>
                <w:bCs/>
                <w:color w:val="auto"/>
                <w:sz w:val="24"/>
              </w:rPr>
              <w:t>条</w:t>
            </w:r>
            <w:r>
              <w:rPr>
                <w:rFonts w:hint="eastAsia" w:hAnsi="Calibri"/>
                <w:bCs/>
                <w:color w:val="auto"/>
                <w:sz w:val="24"/>
              </w:rPr>
              <w:t>干法</w:t>
            </w:r>
            <w:r>
              <w:rPr>
                <w:rFonts w:hAnsi="Calibri"/>
                <w:bCs/>
                <w:color w:val="auto"/>
                <w:sz w:val="24"/>
              </w:rPr>
              <w:t>制砂生产线，</w:t>
            </w:r>
            <w:r>
              <w:rPr>
                <w:rFonts w:hAnsi="Calibri"/>
                <w:color w:val="auto"/>
                <w:kern w:val="0"/>
                <w:sz w:val="24"/>
              </w:rPr>
              <w:t>全厂年产商品混凝土</w:t>
            </w:r>
            <w:r>
              <w:rPr>
                <w:color w:val="auto"/>
                <w:kern w:val="0"/>
                <w:sz w:val="24"/>
              </w:rPr>
              <w:t>32</w:t>
            </w:r>
            <w:r>
              <w:rPr>
                <w:rFonts w:hint="eastAsia"/>
                <w:color w:val="auto"/>
                <w:kern w:val="0"/>
                <w:sz w:val="24"/>
              </w:rPr>
              <w:t>万</w:t>
            </w:r>
            <w:r>
              <w:rPr>
                <w:rFonts w:hAnsi="Calibri"/>
                <w:color w:val="auto"/>
                <w:kern w:val="0"/>
                <w:sz w:val="24"/>
              </w:rPr>
              <w:t>吨。</w:t>
            </w:r>
            <w:r>
              <w:rPr>
                <w:rFonts w:hint="eastAsia" w:hAnsi="Calibri"/>
                <w:color w:val="auto"/>
                <w:kern w:val="0"/>
                <w:sz w:val="24"/>
              </w:rPr>
              <w:t>项目商</w:t>
            </w:r>
            <w:r>
              <w:rPr>
                <w:rFonts w:hAnsi="Calibri"/>
                <w:color w:val="auto"/>
                <w:kern w:val="0"/>
                <w:sz w:val="24"/>
              </w:rPr>
              <w:t>品混凝土</w:t>
            </w:r>
            <w:r>
              <w:rPr>
                <w:rFonts w:hint="eastAsia" w:hAnsi="Calibri"/>
                <w:color w:val="auto"/>
                <w:kern w:val="0"/>
                <w:sz w:val="24"/>
              </w:rPr>
              <w:t>搅拌</w:t>
            </w:r>
            <w:r>
              <w:rPr>
                <w:rFonts w:hAnsi="Calibri"/>
                <w:color w:val="auto"/>
                <w:kern w:val="0"/>
                <w:sz w:val="24"/>
              </w:rPr>
              <w:t>生产线已于</w:t>
            </w:r>
            <w:r>
              <w:rPr>
                <w:rFonts w:hint="eastAsia" w:hAnsi="Calibri"/>
                <w:color w:val="auto"/>
                <w:kern w:val="0"/>
                <w:sz w:val="24"/>
              </w:rPr>
              <w:t>2017年1</w:t>
            </w:r>
            <w:r>
              <w:rPr>
                <w:rFonts w:hAnsi="Calibri"/>
                <w:color w:val="auto"/>
                <w:kern w:val="0"/>
                <w:sz w:val="24"/>
              </w:rPr>
              <w:t>1</w:t>
            </w:r>
            <w:r>
              <w:rPr>
                <w:rFonts w:hint="eastAsia" w:hAnsi="Calibri"/>
                <w:color w:val="auto"/>
                <w:kern w:val="0"/>
                <w:sz w:val="24"/>
              </w:rPr>
              <w:t>月</w:t>
            </w:r>
            <w:r>
              <w:rPr>
                <w:rFonts w:hAnsi="Calibri"/>
                <w:color w:val="auto"/>
                <w:kern w:val="0"/>
                <w:sz w:val="24"/>
              </w:rPr>
              <w:t>建</w:t>
            </w:r>
            <w:r>
              <w:rPr>
                <w:rFonts w:hint="eastAsia" w:hAnsi="Calibri"/>
                <w:color w:val="auto"/>
                <w:kern w:val="0"/>
                <w:sz w:val="24"/>
              </w:rPr>
              <w:t>成</w:t>
            </w:r>
            <w:r>
              <w:rPr>
                <w:rFonts w:hAnsi="Calibri"/>
                <w:color w:val="auto"/>
                <w:kern w:val="0"/>
                <w:sz w:val="24"/>
              </w:rPr>
              <w:t>，</w:t>
            </w:r>
            <w:r>
              <w:rPr>
                <w:rFonts w:hint="eastAsia" w:hAnsi="Calibri"/>
                <w:color w:val="auto"/>
                <w:kern w:val="0"/>
                <w:sz w:val="24"/>
              </w:rPr>
              <w:t>制</w:t>
            </w:r>
            <w:r>
              <w:rPr>
                <w:rFonts w:hAnsi="Calibri"/>
                <w:color w:val="auto"/>
                <w:kern w:val="0"/>
                <w:sz w:val="24"/>
              </w:rPr>
              <w:t>砂生产线拟于2</w:t>
            </w:r>
            <w:r>
              <w:rPr>
                <w:rFonts w:hint="eastAsia" w:hAnsi="Calibri"/>
                <w:color w:val="auto"/>
                <w:kern w:val="0"/>
                <w:sz w:val="24"/>
              </w:rPr>
              <w:t>0</w:t>
            </w:r>
            <w:r>
              <w:rPr>
                <w:rFonts w:hAnsi="Calibri"/>
                <w:color w:val="auto"/>
                <w:kern w:val="0"/>
                <w:sz w:val="24"/>
              </w:rPr>
              <w:t>20</w:t>
            </w:r>
            <w:r>
              <w:rPr>
                <w:rFonts w:hint="eastAsia" w:hAnsi="Calibri"/>
                <w:color w:val="auto"/>
                <w:kern w:val="0"/>
                <w:sz w:val="24"/>
              </w:rPr>
              <w:t>年</w:t>
            </w:r>
            <w:r>
              <w:rPr>
                <w:rFonts w:hAnsi="Calibri"/>
                <w:color w:val="auto"/>
                <w:kern w:val="0"/>
                <w:sz w:val="24"/>
              </w:rPr>
              <w:t>10</w:t>
            </w:r>
            <w:r>
              <w:rPr>
                <w:rFonts w:hint="eastAsia" w:hAnsi="Calibri"/>
                <w:color w:val="auto"/>
                <w:kern w:val="0"/>
                <w:sz w:val="24"/>
              </w:rPr>
              <w:t>月</w:t>
            </w:r>
            <w:r>
              <w:rPr>
                <w:rFonts w:hAnsi="Calibri"/>
                <w:color w:val="auto"/>
                <w:kern w:val="0"/>
                <w:sz w:val="24"/>
              </w:rPr>
              <w:t>开始安装，</w:t>
            </w:r>
            <w:r>
              <w:rPr>
                <w:rFonts w:hint="eastAsia" w:hAnsi="Calibri"/>
                <w:color w:val="auto"/>
                <w:kern w:val="0"/>
                <w:sz w:val="24"/>
              </w:rPr>
              <w:t>2020年</w:t>
            </w:r>
            <w:r>
              <w:rPr>
                <w:rFonts w:hAnsi="Calibri"/>
                <w:color w:val="auto"/>
                <w:kern w:val="0"/>
                <w:sz w:val="24"/>
              </w:rPr>
              <w:t>12</w:t>
            </w:r>
            <w:r>
              <w:rPr>
                <w:rFonts w:hint="eastAsia" w:hAnsi="Calibri"/>
                <w:color w:val="auto"/>
                <w:kern w:val="0"/>
                <w:sz w:val="24"/>
              </w:rPr>
              <w:t>月</w:t>
            </w:r>
            <w:r>
              <w:rPr>
                <w:rFonts w:hAnsi="Calibri"/>
                <w:color w:val="auto"/>
                <w:kern w:val="0"/>
                <w:sz w:val="24"/>
              </w:rPr>
              <w:t>投入生产。</w:t>
            </w:r>
          </w:p>
          <w:p>
            <w:pPr>
              <w:spacing w:line="360" w:lineRule="auto"/>
              <w:jc w:val="center"/>
              <w:rPr>
                <w:b/>
                <w:color w:val="auto"/>
                <w:sz w:val="24"/>
              </w:rPr>
            </w:pPr>
            <w:r>
              <w:rPr>
                <w:rFonts w:hAnsi="Calibri"/>
                <w:b/>
                <w:color w:val="auto"/>
                <w:sz w:val="24"/>
              </w:rPr>
              <w:t>表</w:t>
            </w:r>
            <w:r>
              <w:rPr>
                <w:b/>
                <w:color w:val="auto"/>
                <w:sz w:val="24"/>
              </w:rPr>
              <w:t>1-1</w:t>
            </w:r>
            <w:r>
              <w:rPr>
                <w:rFonts w:hAnsi="Calibri"/>
                <w:b/>
                <w:color w:val="auto"/>
                <w:sz w:val="24"/>
              </w:rPr>
              <w:t>项目建筑物功能布局</w:t>
            </w:r>
          </w:p>
          <w:tbl>
            <w:tblPr>
              <w:tblStyle w:val="29"/>
              <w:tblW w:w="9611"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0" w:type="dxa"/>
                <w:bottom w:w="0" w:type="dxa"/>
                <w:right w:w="0" w:type="dxa"/>
              </w:tblCellMar>
            </w:tblPr>
            <w:tblGrid>
              <w:gridCol w:w="807"/>
              <w:gridCol w:w="1302"/>
              <w:gridCol w:w="1769"/>
              <w:gridCol w:w="5733"/>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85"/>
                    <w:adjustRightInd w:val="0"/>
                    <w:snapToGrid w:val="0"/>
                    <w:rPr>
                      <w:b/>
                      <w:color w:val="auto"/>
                      <w:sz w:val="22"/>
                      <w:szCs w:val="22"/>
                    </w:rPr>
                  </w:pPr>
                  <w:r>
                    <w:rPr>
                      <w:rFonts w:hAnsi="Calibri"/>
                      <w:b/>
                      <w:color w:val="auto"/>
                      <w:sz w:val="22"/>
                      <w:szCs w:val="22"/>
                    </w:rPr>
                    <w:t>序号</w:t>
                  </w:r>
                </w:p>
              </w:tc>
              <w:tc>
                <w:tcPr>
                  <w:tcW w:w="1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85"/>
                    <w:adjustRightInd w:val="0"/>
                    <w:snapToGrid w:val="0"/>
                    <w:rPr>
                      <w:b/>
                      <w:color w:val="auto"/>
                      <w:sz w:val="22"/>
                      <w:szCs w:val="22"/>
                    </w:rPr>
                  </w:pPr>
                  <w:r>
                    <w:rPr>
                      <w:rFonts w:hAnsi="Calibri"/>
                      <w:b/>
                      <w:color w:val="auto"/>
                      <w:sz w:val="22"/>
                      <w:szCs w:val="22"/>
                    </w:rPr>
                    <w:t>工程名称</w:t>
                  </w:r>
                </w:p>
              </w:tc>
              <w:tc>
                <w:tcPr>
                  <w:tcW w:w="1769"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85"/>
                    <w:adjustRightInd w:val="0"/>
                    <w:snapToGrid w:val="0"/>
                    <w:rPr>
                      <w:b/>
                      <w:color w:val="auto"/>
                      <w:sz w:val="22"/>
                      <w:szCs w:val="22"/>
                    </w:rPr>
                  </w:pPr>
                  <w:r>
                    <w:rPr>
                      <w:rFonts w:hAnsi="Calibri"/>
                      <w:b/>
                      <w:color w:val="auto"/>
                      <w:sz w:val="22"/>
                      <w:szCs w:val="22"/>
                    </w:rPr>
                    <w:t>内容</w:t>
                  </w:r>
                </w:p>
              </w:tc>
              <w:tc>
                <w:tcPr>
                  <w:tcW w:w="5733" w:type="dxa"/>
                  <w:tcBorders>
                    <w:top w:val="single" w:color="000000" w:sz="8" w:space="0"/>
                    <w:left w:val="single" w:color="000000" w:sz="8" w:space="0"/>
                    <w:bottom w:val="single" w:color="000000" w:sz="8" w:space="0"/>
                    <w:right w:val="single" w:color="000000" w:sz="8" w:space="0"/>
                  </w:tcBorders>
                  <w:shd w:val="clear" w:color="auto" w:fill="FFFFFF"/>
                  <w:vAlign w:val="center"/>
                </w:tcPr>
                <w:p>
                  <w:pPr>
                    <w:pStyle w:val="85"/>
                    <w:adjustRightInd w:val="0"/>
                    <w:snapToGrid w:val="0"/>
                    <w:rPr>
                      <w:b/>
                      <w:color w:val="auto"/>
                      <w:sz w:val="22"/>
                      <w:szCs w:val="22"/>
                    </w:rPr>
                  </w:pPr>
                  <w:r>
                    <w:rPr>
                      <w:rFonts w:hAnsi="Calibri"/>
                      <w:b/>
                      <w:color w:val="auto"/>
                      <w:sz w:val="22"/>
                      <w:szCs w:val="22"/>
                    </w:rPr>
                    <w:t>规模</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color w:val="auto"/>
                      <w:sz w:val="22"/>
                      <w:szCs w:val="22"/>
                    </w:rPr>
                    <w:t>1</w:t>
                  </w:r>
                </w:p>
              </w:tc>
              <w:tc>
                <w:tcPr>
                  <w:tcW w:w="1302"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主体工程</w:t>
                  </w: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highlight w:val="yellow"/>
                    </w:rPr>
                  </w:pPr>
                  <w:r>
                    <w:rPr>
                      <w:rFonts w:hAnsi="Calibri"/>
                      <w:bCs/>
                      <w:color w:val="auto"/>
                      <w:kern w:val="0"/>
                      <w:sz w:val="22"/>
                      <w:szCs w:val="22"/>
                    </w:rPr>
                    <w:t>生产区</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left"/>
                    <w:rPr>
                      <w:color w:val="auto"/>
                      <w:sz w:val="22"/>
                      <w:szCs w:val="22"/>
                    </w:rPr>
                  </w:pPr>
                  <w:r>
                    <w:rPr>
                      <w:rFonts w:hAnsi="Calibri"/>
                      <w:color w:val="auto"/>
                      <w:sz w:val="22"/>
                      <w:szCs w:val="22"/>
                    </w:rPr>
                    <w:t>搅拌主楼高：</w:t>
                  </w:r>
                  <w:r>
                    <w:rPr>
                      <w:color w:val="auto"/>
                      <w:sz w:val="22"/>
                      <w:szCs w:val="22"/>
                    </w:rPr>
                    <w:t>16m</w:t>
                  </w:r>
                  <w:r>
                    <w:rPr>
                      <w:rFonts w:hAnsi="Calibri"/>
                      <w:color w:val="auto"/>
                      <w:sz w:val="22"/>
                      <w:szCs w:val="22"/>
                    </w:rPr>
                    <w:t>，占地面积：</w:t>
                  </w:r>
                  <w:r>
                    <w:rPr>
                      <w:color w:val="auto"/>
                      <w:sz w:val="22"/>
                      <w:szCs w:val="22"/>
                    </w:rPr>
                    <w:t>1000m</w:t>
                  </w:r>
                  <w:r>
                    <w:rPr>
                      <w:color w:val="auto"/>
                      <w:sz w:val="22"/>
                      <w:szCs w:val="22"/>
                      <w:vertAlign w:val="superscript"/>
                    </w:rPr>
                    <w:t>2</w:t>
                  </w:r>
                  <w:r>
                    <w:rPr>
                      <w:rFonts w:hAnsi="Calibri"/>
                      <w:color w:val="auto"/>
                      <w:sz w:val="22"/>
                      <w:szCs w:val="22"/>
                    </w:rPr>
                    <w:t>，包括：搅拌机</w:t>
                  </w:r>
                  <w:r>
                    <w:rPr>
                      <w:bCs/>
                      <w:color w:val="auto"/>
                      <w:kern w:val="0"/>
                      <w:sz w:val="22"/>
                      <w:szCs w:val="22"/>
                    </w:rPr>
                    <w:t>2</w:t>
                  </w:r>
                  <w:r>
                    <w:rPr>
                      <w:rFonts w:hAnsi="Calibri"/>
                      <w:bCs/>
                      <w:color w:val="auto"/>
                      <w:kern w:val="0"/>
                      <w:sz w:val="22"/>
                      <w:szCs w:val="22"/>
                    </w:rPr>
                    <w:t>座</w:t>
                  </w:r>
                  <w:r>
                    <w:rPr>
                      <w:rFonts w:hAnsi="Calibri"/>
                      <w:color w:val="auto"/>
                      <w:sz w:val="22"/>
                      <w:szCs w:val="22"/>
                    </w:rPr>
                    <w:t>，搅拌输送带</w:t>
                  </w:r>
                  <w:r>
                    <w:rPr>
                      <w:color w:val="auto"/>
                      <w:sz w:val="22"/>
                      <w:szCs w:val="22"/>
                    </w:rPr>
                    <w:t>2</w:t>
                  </w:r>
                  <w:r>
                    <w:rPr>
                      <w:rFonts w:hAnsi="Calibri"/>
                      <w:color w:val="auto"/>
                      <w:sz w:val="22"/>
                      <w:szCs w:val="22"/>
                    </w:rPr>
                    <w:t>套</w:t>
                  </w:r>
                  <w:r>
                    <w:rPr>
                      <w:rFonts w:hint="eastAsia" w:hAnsi="Calibri"/>
                      <w:color w:val="auto"/>
                      <w:sz w:val="22"/>
                      <w:szCs w:val="22"/>
                    </w:rPr>
                    <w:t>；</w:t>
                  </w:r>
                </w:p>
                <w:p>
                  <w:pPr>
                    <w:pStyle w:val="85"/>
                    <w:adjustRightInd w:val="0"/>
                    <w:snapToGrid w:val="0"/>
                    <w:spacing w:before="0" w:after="0" w:line="240" w:lineRule="auto"/>
                    <w:jc w:val="left"/>
                    <w:rPr>
                      <w:color w:val="auto"/>
                      <w:sz w:val="22"/>
                      <w:szCs w:val="22"/>
                      <w:highlight w:val="yellow"/>
                    </w:rPr>
                  </w:pPr>
                  <w:r>
                    <w:rPr>
                      <w:rFonts w:hAnsi="Calibri"/>
                      <w:color w:val="auto"/>
                      <w:sz w:val="22"/>
                      <w:szCs w:val="22"/>
                    </w:rPr>
                    <w:t>制砂生产线：占地面积约</w:t>
                  </w:r>
                  <w:r>
                    <w:rPr>
                      <w:color w:val="auto"/>
                      <w:sz w:val="22"/>
                      <w:szCs w:val="22"/>
                    </w:rPr>
                    <w:t>800 m</w:t>
                  </w:r>
                  <w:r>
                    <w:rPr>
                      <w:color w:val="auto"/>
                      <w:sz w:val="22"/>
                      <w:szCs w:val="22"/>
                      <w:vertAlign w:val="superscript"/>
                    </w:rPr>
                    <w:t>2</w:t>
                  </w:r>
                  <w:r>
                    <w:rPr>
                      <w:rFonts w:hAnsi="Calibri"/>
                      <w:color w:val="auto"/>
                      <w:sz w:val="22"/>
                      <w:szCs w:val="22"/>
                    </w:rPr>
                    <w:t>，包括制砂机主楼钢结构</w:t>
                  </w:r>
                  <w:r>
                    <w:rPr>
                      <w:color w:val="auto"/>
                      <w:sz w:val="22"/>
                      <w:szCs w:val="22"/>
                    </w:rPr>
                    <w:t>1</w:t>
                  </w:r>
                  <w:r>
                    <w:rPr>
                      <w:rFonts w:hAnsi="Calibri"/>
                      <w:color w:val="auto"/>
                      <w:sz w:val="22"/>
                      <w:szCs w:val="22"/>
                    </w:rPr>
                    <w:t>套、原料仓</w:t>
                  </w:r>
                  <w:r>
                    <w:rPr>
                      <w:color w:val="auto"/>
                      <w:sz w:val="22"/>
                      <w:szCs w:val="22"/>
                    </w:rPr>
                    <w:t>1</w:t>
                  </w:r>
                  <w:r>
                    <w:rPr>
                      <w:rFonts w:hint="eastAsia"/>
                      <w:color w:val="auto"/>
                      <w:sz w:val="22"/>
                      <w:szCs w:val="22"/>
                    </w:rPr>
                    <w:t>个</w:t>
                  </w:r>
                  <w:r>
                    <w:rPr>
                      <w:rFonts w:hAnsi="Calibri"/>
                      <w:color w:val="auto"/>
                      <w:sz w:val="22"/>
                      <w:szCs w:val="22"/>
                    </w:rPr>
                    <w:t>等等</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restart"/>
                  <w:tcBorders>
                    <w:top w:val="single" w:color="000000" w:sz="8" w:space="0"/>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color w:val="auto"/>
                      <w:sz w:val="22"/>
                      <w:szCs w:val="22"/>
                    </w:rPr>
                    <w:t>2</w:t>
                  </w:r>
                </w:p>
              </w:tc>
              <w:tc>
                <w:tcPr>
                  <w:tcW w:w="1302" w:type="dxa"/>
                  <w:vMerge w:val="restart"/>
                  <w:tcBorders>
                    <w:top w:val="single" w:color="000000" w:sz="8" w:space="0"/>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辅助工程</w:t>
                  </w: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办公宿舍区</w:t>
                  </w:r>
                </w:p>
              </w:tc>
              <w:tc>
                <w:tcPr>
                  <w:tcW w:w="5733"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left"/>
                    <w:rPr>
                      <w:color w:val="auto"/>
                      <w:sz w:val="22"/>
                      <w:szCs w:val="22"/>
                    </w:rPr>
                  </w:pPr>
                  <w:r>
                    <w:rPr>
                      <w:rFonts w:hint="eastAsia" w:hAnsi="Calibri"/>
                      <w:color w:val="auto"/>
                      <w:sz w:val="22"/>
                      <w:szCs w:val="22"/>
                    </w:rPr>
                    <w:t>1幢</w:t>
                  </w:r>
                  <w:r>
                    <w:rPr>
                      <w:color w:val="auto"/>
                      <w:sz w:val="22"/>
                      <w:szCs w:val="22"/>
                    </w:rPr>
                    <w:t>4</w:t>
                  </w:r>
                  <w:r>
                    <w:rPr>
                      <w:rFonts w:hAnsi="Calibri"/>
                      <w:color w:val="auto"/>
                      <w:sz w:val="22"/>
                      <w:szCs w:val="22"/>
                    </w:rPr>
                    <w:t>层楼房，总建筑面积约</w:t>
                  </w:r>
                  <w:r>
                    <w:rPr>
                      <w:color w:val="auto"/>
                      <w:sz w:val="22"/>
                      <w:szCs w:val="22"/>
                    </w:rPr>
                    <w:t>1</w:t>
                  </w:r>
                  <w:r>
                    <w:rPr>
                      <w:rFonts w:hint="eastAsia"/>
                      <w:color w:val="auto"/>
                      <w:sz w:val="22"/>
                      <w:szCs w:val="22"/>
                    </w:rPr>
                    <w:t>6</w:t>
                  </w:r>
                  <w:r>
                    <w:rPr>
                      <w:color w:val="auto"/>
                      <w:sz w:val="22"/>
                      <w:szCs w:val="22"/>
                    </w:rPr>
                    <w:t>00m</w:t>
                  </w:r>
                  <w:r>
                    <w:rPr>
                      <w:color w:val="auto"/>
                      <w:sz w:val="22"/>
                      <w:szCs w:val="22"/>
                      <w:vertAlign w:val="superscript"/>
                    </w:rPr>
                    <w:t>2</w:t>
                  </w:r>
                  <w:r>
                    <w:rPr>
                      <w:rFonts w:hAnsi="Calibri"/>
                      <w:color w:val="auto"/>
                      <w:sz w:val="22"/>
                      <w:szCs w:val="22"/>
                    </w:rPr>
                    <w:t>，主要是办公及</w:t>
                  </w:r>
                  <w:r>
                    <w:rPr>
                      <w:rFonts w:hAnsi="Calibri"/>
                      <w:bCs/>
                      <w:color w:val="auto"/>
                      <w:kern w:val="0"/>
                      <w:sz w:val="22"/>
                      <w:szCs w:val="22"/>
                    </w:rPr>
                    <w:t>员工</w:t>
                  </w:r>
                  <w:r>
                    <w:rPr>
                      <w:rFonts w:hint="eastAsia" w:hAnsi="Calibri"/>
                      <w:bCs/>
                      <w:color w:val="auto"/>
                      <w:kern w:val="0"/>
                      <w:sz w:val="22"/>
                      <w:szCs w:val="22"/>
                    </w:rPr>
                    <w:t>食堂</w:t>
                  </w:r>
                  <w:r>
                    <w:rPr>
                      <w:rFonts w:hAnsi="Calibri"/>
                      <w:bCs/>
                      <w:color w:val="auto"/>
                      <w:kern w:val="0"/>
                      <w:sz w:val="22"/>
                      <w:szCs w:val="22"/>
                    </w:rPr>
                    <w:t>、宿舍</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实验室</w:t>
                  </w:r>
                  <w:r>
                    <w:rPr>
                      <w:rFonts w:hint="eastAsia" w:hAnsi="Calibri"/>
                      <w:color w:val="auto"/>
                      <w:sz w:val="22"/>
                      <w:szCs w:val="22"/>
                    </w:rPr>
                    <w:t>及</w:t>
                  </w:r>
                  <w:r>
                    <w:rPr>
                      <w:rFonts w:hAnsi="Calibri"/>
                      <w:color w:val="auto"/>
                      <w:sz w:val="22"/>
                      <w:szCs w:val="22"/>
                    </w:rPr>
                    <w:t>机电房</w:t>
                  </w:r>
                </w:p>
              </w:tc>
              <w:tc>
                <w:tcPr>
                  <w:tcW w:w="5733"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both"/>
                    <w:rPr>
                      <w:color w:val="auto"/>
                      <w:sz w:val="22"/>
                      <w:szCs w:val="22"/>
                    </w:rPr>
                  </w:pPr>
                  <w:r>
                    <w:rPr>
                      <w:rFonts w:hAnsi="Calibri"/>
                      <w:color w:val="auto"/>
                      <w:sz w:val="22"/>
                      <w:szCs w:val="22"/>
                    </w:rPr>
                    <w:t>共</w:t>
                  </w:r>
                  <w:r>
                    <w:rPr>
                      <w:color w:val="auto"/>
                      <w:sz w:val="22"/>
                      <w:szCs w:val="22"/>
                    </w:rPr>
                    <w:t>1</w:t>
                  </w:r>
                  <w:r>
                    <w:rPr>
                      <w:rFonts w:hAnsi="Calibri"/>
                      <w:color w:val="auto"/>
                      <w:sz w:val="22"/>
                      <w:szCs w:val="22"/>
                    </w:rPr>
                    <w:t>层，建筑面积约</w:t>
                  </w:r>
                  <w:r>
                    <w:rPr>
                      <w:color w:val="auto"/>
                      <w:sz w:val="22"/>
                      <w:szCs w:val="22"/>
                    </w:rPr>
                    <w:t>250m</w:t>
                  </w:r>
                  <w:r>
                    <w:rPr>
                      <w:color w:val="auto"/>
                      <w:sz w:val="22"/>
                      <w:szCs w:val="22"/>
                      <w:vertAlign w:val="superscript"/>
                    </w:rPr>
                    <w:t>2</w:t>
                  </w:r>
                  <w:r>
                    <w:rPr>
                      <w:rFonts w:hAnsi="Calibri"/>
                      <w:color w:val="auto"/>
                      <w:sz w:val="22"/>
                      <w:szCs w:val="22"/>
                    </w:rPr>
                    <w:t>，用于产品压力测试实验</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left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rFonts w:hAnsi="Calibri"/>
                      <w:color w:val="auto"/>
                      <w:sz w:val="22"/>
                      <w:szCs w:val="22"/>
                    </w:rPr>
                  </w:pPr>
                  <w:r>
                    <w:rPr>
                      <w:rFonts w:hint="eastAsia" w:hAnsi="Calibri"/>
                      <w:color w:val="auto"/>
                      <w:sz w:val="22"/>
                      <w:szCs w:val="22"/>
                    </w:rPr>
                    <w:t>车</w:t>
                  </w:r>
                  <w:r>
                    <w:rPr>
                      <w:rFonts w:hAnsi="Calibri"/>
                      <w:color w:val="auto"/>
                      <w:sz w:val="22"/>
                      <w:szCs w:val="22"/>
                    </w:rPr>
                    <w:t>棚</w:t>
                  </w:r>
                </w:p>
              </w:tc>
              <w:tc>
                <w:tcPr>
                  <w:tcW w:w="5733"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both"/>
                    <w:rPr>
                      <w:rFonts w:hAnsi="Calibri"/>
                      <w:color w:val="auto"/>
                      <w:sz w:val="22"/>
                      <w:szCs w:val="22"/>
                    </w:rPr>
                  </w:pPr>
                  <w:r>
                    <w:rPr>
                      <w:rFonts w:hint="eastAsia" w:hAnsi="Calibri"/>
                      <w:color w:val="auto"/>
                      <w:sz w:val="22"/>
                      <w:szCs w:val="22"/>
                    </w:rPr>
                    <w:t>约350</w:t>
                  </w:r>
                  <w:r>
                    <w:rPr>
                      <w:color w:val="auto"/>
                      <w:sz w:val="22"/>
                      <w:szCs w:val="22"/>
                    </w:rPr>
                    <w:t xml:space="preserve"> m</w:t>
                  </w:r>
                  <w:r>
                    <w:rPr>
                      <w:color w:val="auto"/>
                      <w:sz w:val="22"/>
                      <w:szCs w:val="22"/>
                      <w:vertAlign w:val="superscript"/>
                    </w:rPr>
                    <w:t>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rFonts w:hAnsi="Calibri"/>
                      <w:color w:val="auto"/>
                      <w:sz w:val="22"/>
                      <w:szCs w:val="22"/>
                    </w:rPr>
                  </w:pPr>
                  <w:r>
                    <w:rPr>
                      <w:rFonts w:hint="eastAsia" w:hAnsi="Calibri"/>
                      <w:color w:val="auto"/>
                      <w:sz w:val="22"/>
                      <w:szCs w:val="22"/>
                    </w:rPr>
                    <w:t>仓库</w:t>
                  </w:r>
                </w:p>
              </w:tc>
              <w:tc>
                <w:tcPr>
                  <w:tcW w:w="5733"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both"/>
                    <w:rPr>
                      <w:rFonts w:hAnsi="Calibri"/>
                      <w:color w:val="auto"/>
                      <w:sz w:val="22"/>
                      <w:szCs w:val="22"/>
                    </w:rPr>
                  </w:pPr>
                  <w:r>
                    <w:rPr>
                      <w:rFonts w:hint="eastAsia" w:hAnsi="Calibri"/>
                      <w:color w:val="auto"/>
                      <w:sz w:val="22"/>
                      <w:szCs w:val="22"/>
                    </w:rPr>
                    <w:t>1幢4层</w:t>
                  </w:r>
                  <w:r>
                    <w:rPr>
                      <w:rFonts w:hAnsi="Calibri"/>
                      <w:color w:val="auto"/>
                      <w:sz w:val="22"/>
                      <w:szCs w:val="22"/>
                    </w:rPr>
                    <w:t>楼房，总建筑面积约</w:t>
                  </w:r>
                  <w:r>
                    <w:rPr>
                      <w:rFonts w:hint="eastAsia" w:hAnsi="Calibri"/>
                      <w:color w:val="auto"/>
                      <w:sz w:val="22"/>
                      <w:szCs w:val="22"/>
                    </w:rPr>
                    <w:t>1600</w:t>
                  </w:r>
                  <w:r>
                    <w:rPr>
                      <w:color w:val="auto"/>
                      <w:sz w:val="22"/>
                      <w:szCs w:val="22"/>
                    </w:rPr>
                    <w:t xml:space="preserve"> m</w:t>
                  </w:r>
                  <w:r>
                    <w:rPr>
                      <w:color w:val="auto"/>
                      <w:sz w:val="22"/>
                      <w:szCs w:val="22"/>
                      <w:vertAlign w:val="superscript"/>
                    </w:rPr>
                    <w:t>2</w:t>
                  </w:r>
                  <w:r>
                    <w:rPr>
                      <w:rFonts w:hint="eastAsia"/>
                      <w:color w:val="auto"/>
                      <w:sz w:val="22"/>
                      <w:szCs w:val="22"/>
                    </w:rPr>
                    <w:t>。</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color w:val="auto"/>
                      <w:sz w:val="22"/>
                      <w:szCs w:val="22"/>
                    </w:rPr>
                    <w:t>3</w:t>
                  </w:r>
                </w:p>
              </w:tc>
              <w:tc>
                <w:tcPr>
                  <w:tcW w:w="1302"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贮运工程</w:t>
                  </w: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堆料场</w:t>
                  </w:r>
                </w:p>
              </w:tc>
              <w:tc>
                <w:tcPr>
                  <w:tcW w:w="5733" w:type="dxa"/>
                  <w:tcBorders>
                    <w:top w:val="single" w:color="000000" w:sz="8" w:space="0"/>
                    <w:left w:val="single" w:color="000000" w:sz="8" w:space="0"/>
                    <w:bottom w:val="single" w:color="auto" w:sz="6"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both"/>
                    <w:rPr>
                      <w:color w:val="auto"/>
                      <w:sz w:val="22"/>
                      <w:szCs w:val="22"/>
                    </w:rPr>
                  </w:pPr>
                  <w:r>
                    <w:rPr>
                      <w:rFonts w:hAnsi="Calibri"/>
                      <w:color w:val="auto"/>
                      <w:sz w:val="22"/>
                      <w:szCs w:val="22"/>
                    </w:rPr>
                    <w:t>封盖，</w:t>
                  </w:r>
                  <w:r>
                    <w:rPr>
                      <w:color w:val="auto"/>
                      <w:sz w:val="22"/>
                      <w:szCs w:val="22"/>
                    </w:rPr>
                    <w:t>1</w:t>
                  </w:r>
                  <w:r>
                    <w:rPr>
                      <w:rFonts w:hAnsi="Calibri"/>
                      <w:color w:val="auto"/>
                      <w:sz w:val="22"/>
                      <w:szCs w:val="22"/>
                    </w:rPr>
                    <w:t>个，占地面积</w:t>
                  </w:r>
                  <w:r>
                    <w:rPr>
                      <w:color w:val="auto"/>
                      <w:sz w:val="22"/>
                      <w:szCs w:val="22"/>
                    </w:rPr>
                    <w:t>1200m</w:t>
                  </w:r>
                  <w:r>
                    <w:rPr>
                      <w:color w:val="auto"/>
                      <w:sz w:val="22"/>
                      <w:szCs w:val="22"/>
                      <w:vertAlign w:val="superscript"/>
                    </w:rPr>
                    <w:t>2</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trHeight w:val="330" w:hRule="atLeast"/>
                <w:jc w:val="center"/>
              </w:trPr>
              <w:tc>
                <w:tcPr>
                  <w:tcW w:w="807" w:type="dxa"/>
                  <w:vMerge w:val="restart"/>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color w:val="auto"/>
                      <w:sz w:val="22"/>
                      <w:szCs w:val="22"/>
                    </w:rPr>
                    <w:t>4</w:t>
                  </w:r>
                </w:p>
              </w:tc>
              <w:tc>
                <w:tcPr>
                  <w:tcW w:w="1302" w:type="dxa"/>
                  <w:vMerge w:val="restart"/>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公用工程</w:t>
                  </w: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供水</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left"/>
                    <w:rPr>
                      <w:color w:val="auto"/>
                      <w:sz w:val="22"/>
                      <w:szCs w:val="22"/>
                    </w:rPr>
                  </w:pPr>
                  <w:r>
                    <w:rPr>
                      <w:rFonts w:hAnsi="Calibri"/>
                      <w:color w:val="auto"/>
                      <w:sz w:val="22"/>
                      <w:szCs w:val="22"/>
                    </w:rPr>
                    <w:t>全厂总用水量</w:t>
                  </w:r>
                  <w:r>
                    <w:rPr>
                      <w:color w:val="auto"/>
                      <w:sz w:val="22"/>
                      <w:szCs w:val="22"/>
                    </w:rPr>
                    <w:t>44351.4m</w:t>
                  </w:r>
                  <w:r>
                    <w:rPr>
                      <w:color w:val="auto"/>
                      <w:sz w:val="22"/>
                      <w:szCs w:val="22"/>
                      <w:vertAlign w:val="superscript"/>
                    </w:rPr>
                    <w:t>3</w:t>
                  </w:r>
                  <w:r>
                    <w:rPr>
                      <w:color w:val="auto"/>
                      <w:sz w:val="22"/>
                      <w:szCs w:val="22"/>
                    </w:rPr>
                    <w:t>/a</w:t>
                  </w:r>
                  <w:r>
                    <w:rPr>
                      <w:rFonts w:hint="eastAsia"/>
                      <w:color w:val="auto"/>
                      <w:sz w:val="22"/>
                      <w:szCs w:val="22"/>
                    </w:rPr>
                    <w:t>（新鲜</w:t>
                  </w:r>
                  <w:r>
                    <w:rPr>
                      <w:color w:val="auto"/>
                      <w:sz w:val="22"/>
                      <w:szCs w:val="22"/>
                    </w:rPr>
                    <w:t>用水</w:t>
                  </w:r>
                  <w:r>
                    <w:rPr>
                      <w:color w:val="auto"/>
                      <w:sz w:val="22"/>
                    </w:rPr>
                    <w:t>39134.1</w:t>
                  </w:r>
                  <w:r>
                    <w:rPr>
                      <w:color w:val="auto"/>
                      <w:sz w:val="22"/>
                      <w:szCs w:val="22"/>
                    </w:rPr>
                    <w:t>m</w:t>
                  </w:r>
                  <w:r>
                    <w:rPr>
                      <w:color w:val="auto"/>
                      <w:sz w:val="22"/>
                      <w:szCs w:val="22"/>
                      <w:vertAlign w:val="superscript"/>
                    </w:rPr>
                    <w:t>3</w:t>
                  </w:r>
                  <w:r>
                    <w:rPr>
                      <w:color w:val="auto"/>
                      <w:sz w:val="22"/>
                      <w:szCs w:val="22"/>
                    </w:rPr>
                    <w:t>/a</w:t>
                  </w:r>
                  <w:r>
                    <w:rPr>
                      <w:rFonts w:hint="eastAsia"/>
                      <w:color w:val="auto"/>
                      <w:sz w:val="22"/>
                      <w:szCs w:val="22"/>
                    </w:rPr>
                    <w:t>，回</w:t>
                  </w:r>
                  <w:r>
                    <w:rPr>
                      <w:color w:val="auto"/>
                      <w:sz w:val="22"/>
                      <w:szCs w:val="22"/>
                    </w:rPr>
                    <w:t>用水5217.3 m</w:t>
                  </w:r>
                  <w:r>
                    <w:rPr>
                      <w:color w:val="auto"/>
                      <w:sz w:val="22"/>
                      <w:szCs w:val="22"/>
                      <w:vertAlign w:val="superscript"/>
                    </w:rPr>
                    <w:t>3</w:t>
                  </w:r>
                  <w:r>
                    <w:rPr>
                      <w:color w:val="auto"/>
                      <w:sz w:val="22"/>
                      <w:szCs w:val="22"/>
                    </w:rPr>
                    <w:t>/a</w:t>
                  </w:r>
                  <w:r>
                    <w:rPr>
                      <w:rFonts w:hint="eastAsia"/>
                      <w:color w:val="auto"/>
                      <w:sz w:val="22"/>
                      <w:szCs w:val="22"/>
                    </w:rPr>
                    <w:t>）</w:t>
                  </w:r>
                  <w:r>
                    <w:rPr>
                      <w:rFonts w:hint="eastAsia" w:hAnsi="Calibri"/>
                      <w:color w:val="auto"/>
                      <w:sz w:val="22"/>
                      <w:szCs w:val="22"/>
                    </w:rPr>
                    <w:t>。</w:t>
                  </w:r>
                  <w:r>
                    <w:rPr>
                      <w:rFonts w:hAnsi="Calibri"/>
                      <w:color w:val="auto"/>
                      <w:sz w:val="22"/>
                      <w:szCs w:val="22"/>
                    </w:rPr>
                    <w:t>其中生产用水量：</w:t>
                  </w:r>
                  <w:r>
                    <w:rPr>
                      <w:color w:val="auto"/>
                      <w:sz w:val="22"/>
                      <w:szCs w:val="22"/>
                    </w:rPr>
                    <w:t>43797m</w:t>
                  </w:r>
                  <w:r>
                    <w:rPr>
                      <w:color w:val="auto"/>
                      <w:sz w:val="22"/>
                      <w:szCs w:val="22"/>
                      <w:vertAlign w:val="superscript"/>
                    </w:rPr>
                    <w:t>3</w:t>
                  </w:r>
                  <w:r>
                    <w:rPr>
                      <w:color w:val="auto"/>
                      <w:sz w:val="22"/>
                      <w:szCs w:val="22"/>
                    </w:rPr>
                    <w:t>/a</w:t>
                  </w:r>
                  <w:r>
                    <w:rPr>
                      <w:rFonts w:hint="eastAsia"/>
                      <w:color w:val="auto"/>
                      <w:sz w:val="22"/>
                      <w:szCs w:val="22"/>
                    </w:rPr>
                    <w:t>（新鲜</w:t>
                  </w:r>
                  <w:r>
                    <w:rPr>
                      <w:color w:val="auto"/>
                      <w:sz w:val="22"/>
                      <w:szCs w:val="22"/>
                    </w:rPr>
                    <w:t>用水38579.7 m</w:t>
                  </w:r>
                  <w:r>
                    <w:rPr>
                      <w:color w:val="auto"/>
                      <w:sz w:val="22"/>
                      <w:szCs w:val="22"/>
                      <w:vertAlign w:val="superscript"/>
                    </w:rPr>
                    <w:t>3</w:t>
                  </w:r>
                  <w:r>
                    <w:rPr>
                      <w:color w:val="auto"/>
                      <w:sz w:val="22"/>
                      <w:szCs w:val="22"/>
                    </w:rPr>
                    <w:t>/a</w:t>
                  </w:r>
                  <w:r>
                    <w:rPr>
                      <w:rFonts w:hint="eastAsia"/>
                      <w:color w:val="auto"/>
                      <w:sz w:val="22"/>
                      <w:szCs w:val="22"/>
                    </w:rPr>
                    <w:t>，回</w:t>
                  </w:r>
                  <w:r>
                    <w:rPr>
                      <w:color w:val="auto"/>
                      <w:sz w:val="22"/>
                      <w:szCs w:val="22"/>
                    </w:rPr>
                    <w:t>用水5217.3 m</w:t>
                  </w:r>
                  <w:r>
                    <w:rPr>
                      <w:color w:val="auto"/>
                      <w:sz w:val="22"/>
                      <w:szCs w:val="22"/>
                      <w:vertAlign w:val="superscript"/>
                    </w:rPr>
                    <w:t>3</w:t>
                  </w:r>
                  <w:r>
                    <w:rPr>
                      <w:color w:val="auto"/>
                      <w:sz w:val="22"/>
                      <w:szCs w:val="22"/>
                    </w:rPr>
                    <w:t>/a</w:t>
                  </w:r>
                  <w:r>
                    <w:rPr>
                      <w:rFonts w:hint="eastAsia"/>
                      <w:color w:val="auto"/>
                      <w:sz w:val="22"/>
                      <w:szCs w:val="22"/>
                    </w:rPr>
                    <w:t>）</w:t>
                  </w:r>
                  <w:r>
                    <w:rPr>
                      <w:rFonts w:hAnsi="Calibri"/>
                      <w:color w:val="auto"/>
                      <w:sz w:val="22"/>
                      <w:szCs w:val="22"/>
                    </w:rPr>
                    <w:t>，生活用水：</w:t>
                  </w:r>
                  <w:r>
                    <w:rPr>
                      <w:color w:val="auto"/>
                      <w:sz w:val="22"/>
                      <w:szCs w:val="22"/>
                    </w:rPr>
                    <w:t>554.4m</w:t>
                  </w:r>
                  <w:r>
                    <w:rPr>
                      <w:color w:val="auto"/>
                      <w:sz w:val="22"/>
                      <w:szCs w:val="22"/>
                      <w:vertAlign w:val="superscript"/>
                    </w:rPr>
                    <w:t>3</w:t>
                  </w:r>
                  <w:r>
                    <w:rPr>
                      <w:color w:val="auto"/>
                      <w:sz w:val="22"/>
                      <w:szCs w:val="22"/>
                    </w:rPr>
                    <w:t>/a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供电</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spacing w:before="0" w:after="0" w:line="240" w:lineRule="auto"/>
                    <w:jc w:val="both"/>
                    <w:rPr>
                      <w:color w:val="auto"/>
                      <w:sz w:val="22"/>
                      <w:szCs w:val="22"/>
                    </w:rPr>
                  </w:pPr>
                  <w:r>
                    <w:rPr>
                      <w:rFonts w:hAnsi="Calibri"/>
                      <w:color w:val="auto"/>
                      <w:sz w:val="22"/>
                      <w:szCs w:val="22"/>
                    </w:rPr>
                    <w:t>全厂年用电</w:t>
                  </w:r>
                  <w:r>
                    <w:rPr>
                      <w:color w:val="auto"/>
                      <w:sz w:val="22"/>
                      <w:szCs w:val="22"/>
                    </w:rPr>
                    <w:t>15</w:t>
                  </w:r>
                  <w:r>
                    <w:rPr>
                      <w:rFonts w:hAnsi="Calibri"/>
                      <w:color w:val="auto"/>
                      <w:sz w:val="22"/>
                      <w:szCs w:val="22"/>
                    </w:rPr>
                    <w:t>万度，由市政电网供给</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807" w:type="dxa"/>
                  <w:vMerge w:val="restart"/>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color w:val="auto"/>
                      <w:sz w:val="22"/>
                      <w:szCs w:val="22"/>
                    </w:rPr>
                    <w:t>5</w:t>
                  </w:r>
                </w:p>
              </w:tc>
              <w:tc>
                <w:tcPr>
                  <w:tcW w:w="1302" w:type="dxa"/>
                  <w:vMerge w:val="restart"/>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环保工程</w:t>
                  </w: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废气处理设施</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spacing w:line="240" w:lineRule="auto"/>
                    <w:jc w:val="both"/>
                    <w:rPr>
                      <w:color w:val="auto"/>
                      <w:sz w:val="22"/>
                      <w:szCs w:val="22"/>
                    </w:rPr>
                  </w:pPr>
                  <w:r>
                    <w:rPr>
                      <w:rFonts w:hAnsi="Calibri"/>
                      <w:color w:val="auto"/>
                      <w:sz w:val="22"/>
                      <w:szCs w:val="22"/>
                    </w:rPr>
                    <w:t>堆料场设置三面围挡和顶棚、自动洒水装置；</w:t>
                  </w:r>
                </w:p>
                <w:p>
                  <w:pPr>
                    <w:pStyle w:val="85"/>
                    <w:adjustRightInd w:val="0"/>
                    <w:snapToGrid w:val="0"/>
                    <w:spacing w:line="240" w:lineRule="auto"/>
                    <w:jc w:val="both"/>
                    <w:rPr>
                      <w:color w:val="auto"/>
                      <w:sz w:val="22"/>
                      <w:szCs w:val="22"/>
                    </w:rPr>
                  </w:pPr>
                  <w:r>
                    <w:rPr>
                      <w:rFonts w:hAnsi="Calibri"/>
                      <w:color w:val="auto"/>
                      <w:sz w:val="22"/>
                      <w:szCs w:val="22"/>
                    </w:rPr>
                    <w:t>装卸料点上方以及料斗上方均设置水雾喷淋装置；</w:t>
                  </w:r>
                </w:p>
                <w:p>
                  <w:pPr>
                    <w:pStyle w:val="85"/>
                    <w:adjustRightInd w:val="0"/>
                    <w:snapToGrid w:val="0"/>
                    <w:jc w:val="left"/>
                    <w:rPr>
                      <w:color w:val="auto"/>
                      <w:sz w:val="22"/>
                      <w:szCs w:val="22"/>
                    </w:rPr>
                  </w:pPr>
                  <w:r>
                    <w:rPr>
                      <w:rFonts w:hAnsi="Calibri"/>
                      <w:color w:val="auto"/>
                      <w:sz w:val="22"/>
                      <w:szCs w:val="22"/>
                    </w:rPr>
                    <w:t>每个粉料罐均设有一套主动式脉冲除尘器，共</w:t>
                  </w:r>
                  <w:r>
                    <w:rPr>
                      <w:color w:val="auto"/>
                      <w:sz w:val="22"/>
                      <w:szCs w:val="22"/>
                    </w:rPr>
                    <w:t>8</w:t>
                  </w:r>
                  <w:r>
                    <w:rPr>
                      <w:rFonts w:hAnsi="Calibri"/>
                      <w:color w:val="auto"/>
                      <w:sz w:val="22"/>
                      <w:szCs w:val="22"/>
                    </w:rPr>
                    <w:t>套，单套风量</w:t>
                  </w:r>
                  <w:r>
                    <w:rPr>
                      <w:color w:val="auto"/>
                      <w:sz w:val="22"/>
                      <w:szCs w:val="22"/>
                    </w:rPr>
                    <w:t>3000m</w:t>
                  </w:r>
                  <w:r>
                    <w:rPr>
                      <w:color w:val="auto"/>
                      <w:sz w:val="22"/>
                      <w:szCs w:val="22"/>
                      <w:vertAlign w:val="superscript"/>
                    </w:rPr>
                    <w:t>3</w:t>
                  </w:r>
                  <w:r>
                    <w:rPr>
                      <w:rFonts w:hAnsi="Calibri"/>
                      <w:color w:val="auto"/>
                      <w:sz w:val="22"/>
                      <w:szCs w:val="22"/>
                    </w:rPr>
                    <w:t>，除尘率</w:t>
                  </w:r>
                  <w:r>
                    <w:rPr>
                      <w:color w:val="auto"/>
                      <w:sz w:val="22"/>
                      <w:szCs w:val="22"/>
                    </w:rPr>
                    <w:t>99.9%</w:t>
                  </w:r>
                  <w:r>
                    <w:rPr>
                      <w:rFonts w:hAnsi="Calibri"/>
                      <w:color w:val="auto"/>
                      <w:sz w:val="22"/>
                      <w:szCs w:val="22"/>
                    </w:rPr>
                    <w:t>；</w:t>
                  </w:r>
                </w:p>
                <w:p>
                  <w:pPr>
                    <w:pStyle w:val="85"/>
                    <w:adjustRightInd w:val="0"/>
                    <w:snapToGrid w:val="0"/>
                    <w:jc w:val="left"/>
                    <w:rPr>
                      <w:color w:val="auto"/>
                      <w:sz w:val="22"/>
                      <w:szCs w:val="22"/>
                    </w:rPr>
                  </w:pPr>
                  <w:r>
                    <w:rPr>
                      <w:rFonts w:hAnsi="Calibri"/>
                      <w:color w:val="auto"/>
                      <w:sz w:val="22"/>
                      <w:szCs w:val="22"/>
                    </w:rPr>
                    <w:t>制砂生产线采用</w:t>
                  </w:r>
                  <w:r>
                    <w:rPr>
                      <w:rFonts w:hint="eastAsia" w:hAnsi="Calibri"/>
                      <w:color w:val="auto"/>
                      <w:sz w:val="22"/>
                      <w:szCs w:val="22"/>
                    </w:rPr>
                    <w:t>布袋</w:t>
                  </w:r>
                  <w:r>
                    <w:rPr>
                      <w:rFonts w:hAnsi="Calibri"/>
                      <w:color w:val="auto"/>
                      <w:sz w:val="22"/>
                      <w:szCs w:val="22"/>
                    </w:rPr>
                    <w:t>除尘器，除尘率</w:t>
                  </w:r>
                  <w:r>
                    <w:rPr>
                      <w:color w:val="auto"/>
                      <w:sz w:val="22"/>
                      <w:szCs w:val="22"/>
                    </w:rPr>
                    <w:t>99.9%</w:t>
                  </w:r>
                  <w:r>
                    <w:rPr>
                      <w:rFonts w:hAnsi="Calibri"/>
                      <w:color w:val="auto"/>
                      <w:sz w:val="22"/>
                      <w:szCs w:val="22"/>
                    </w:rPr>
                    <w:t>；</w:t>
                  </w:r>
                </w:p>
                <w:p>
                  <w:pPr>
                    <w:pStyle w:val="85"/>
                    <w:adjustRightInd w:val="0"/>
                    <w:snapToGrid w:val="0"/>
                    <w:spacing w:line="240" w:lineRule="auto"/>
                    <w:jc w:val="both"/>
                    <w:rPr>
                      <w:color w:val="auto"/>
                      <w:sz w:val="22"/>
                      <w:szCs w:val="22"/>
                    </w:rPr>
                  </w:pPr>
                  <w:r>
                    <w:rPr>
                      <w:rFonts w:hAnsi="Calibri"/>
                      <w:color w:val="auto"/>
                      <w:sz w:val="22"/>
                      <w:szCs w:val="22"/>
                    </w:rPr>
                    <w:t>搅拌系统采用袋式除尘器处理系统；</w:t>
                  </w:r>
                </w:p>
                <w:p>
                  <w:pPr>
                    <w:pStyle w:val="85"/>
                    <w:adjustRightInd w:val="0"/>
                    <w:snapToGrid w:val="0"/>
                    <w:jc w:val="left"/>
                    <w:rPr>
                      <w:color w:val="auto"/>
                      <w:sz w:val="22"/>
                      <w:szCs w:val="22"/>
                    </w:rPr>
                  </w:pPr>
                  <w:r>
                    <w:rPr>
                      <w:rFonts w:hAnsi="Calibri"/>
                      <w:color w:val="auto"/>
                      <w:sz w:val="22"/>
                      <w:szCs w:val="22"/>
                    </w:rPr>
                    <w:t>装卸废气：砂石堆料场采取半封闭封装，装卸废气经加装喷淋洒水装置，定期洒水处理。</w:t>
                  </w:r>
                </w:p>
                <w:p>
                  <w:pPr>
                    <w:rPr>
                      <w:color w:val="auto"/>
                    </w:rPr>
                  </w:pPr>
                  <w:r>
                    <w:rPr>
                      <w:rFonts w:hAnsi="Calibri"/>
                      <w:color w:val="auto"/>
                      <w:position w:val="-10"/>
                      <w:sz w:val="22"/>
                      <w:szCs w:val="22"/>
                    </w:rPr>
                    <w:t>场内配套除尘雾泡机抑尘</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废水处理设施</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jc w:val="left"/>
                    <w:rPr>
                      <w:color w:val="auto"/>
                      <w:sz w:val="22"/>
                      <w:szCs w:val="22"/>
                    </w:rPr>
                  </w:pPr>
                  <w:r>
                    <w:rPr>
                      <w:rFonts w:hint="eastAsia" w:hAnsi="Calibri"/>
                      <w:color w:val="auto"/>
                      <w:sz w:val="22"/>
                      <w:szCs w:val="22"/>
                    </w:rPr>
                    <w:t>沉淀</w:t>
                  </w:r>
                  <w:r>
                    <w:rPr>
                      <w:rFonts w:hAnsi="Calibri"/>
                      <w:color w:val="auto"/>
                      <w:sz w:val="22"/>
                      <w:szCs w:val="22"/>
                    </w:rPr>
                    <w:t>过滤系统：</w:t>
                  </w:r>
                  <w:r>
                    <w:rPr>
                      <w:rFonts w:hint="eastAsia" w:hAnsi="Calibri"/>
                      <w:color w:val="auto"/>
                      <w:sz w:val="22"/>
                      <w:szCs w:val="22"/>
                    </w:rPr>
                    <w:t>生产</w:t>
                  </w:r>
                  <w:r>
                    <w:rPr>
                      <w:rFonts w:hAnsi="Calibri"/>
                      <w:color w:val="auto"/>
                      <w:sz w:val="22"/>
                      <w:szCs w:val="22"/>
                    </w:rPr>
                    <w:t>废</w:t>
                  </w:r>
                  <w:r>
                    <w:rPr>
                      <w:rFonts w:hint="eastAsia" w:hAnsi="Calibri"/>
                      <w:color w:val="auto"/>
                      <w:sz w:val="22"/>
                      <w:szCs w:val="22"/>
                    </w:rPr>
                    <w:t>水</w:t>
                  </w:r>
                  <w:r>
                    <w:rPr>
                      <w:rFonts w:hAnsi="Calibri"/>
                      <w:color w:val="auto"/>
                      <w:sz w:val="22"/>
                      <w:szCs w:val="22"/>
                    </w:rPr>
                    <w:t>经四级</w:t>
                  </w:r>
                  <w:r>
                    <w:rPr>
                      <w:rFonts w:hint="eastAsia" w:hAnsi="Calibri"/>
                      <w:color w:val="auto"/>
                      <w:sz w:val="22"/>
                      <w:szCs w:val="22"/>
                    </w:rPr>
                    <w:t>沉淀</w:t>
                  </w:r>
                  <w:r>
                    <w:rPr>
                      <w:rFonts w:hAnsi="Calibri"/>
                      <w:color w:val="auto"/>
                      <w:sz w:val="22"/>
                      <w:szCs w:val="22"/>
                    </w:rPr>
                    <w:t>过滤系统处理后回用于生产工序；</w:t>
                  </w:r>
                </w:p>
                <w:p>
                  <w:pPr>
                    <w:pStyle w:val="85"/>
                    <w:adjustRightInd w:val="0"/>
                    <w:snapToGrid w:val="0"/>
                    <w:jc w:val="left"/>
                    <w:rPr>
                      <w:color w:val="auto"/>
                      <w:sz w:val="22"/>
                      <w:szCs w:val="22"/>
                    </w:rPr>
                  </w:pPr>
                  <w:r>
                    <w:rPr>
                      <w:rFonts w:hint="eastAsia" w:hAnsi="Calibri"/>
                      <w:color w:val="auto"/>
                      <w:sz w:val="22"/>
                      <w:szCs w:val="22"/>
                    </w:rPr>
                    <w:t>地埋</w:t>
                  </w:r>
                  <w:r>
                    <w:rPr>
                      <w:rFonts w:hAnsi="Calibri"/>
                      <w:color w:val="auto"/>
                      <w:sz w:val="22"/>
                      <w:szCs w:val="22"/>
                    </w:rPr>
                    <w:t>式一体化污水处理设施：本项目生活污水经</w:t>
                  </w:r>
                  <w:r>
                    <w:rPr>
                      <w:rFonts w:hint="eastAsia" w:hAnsi="Calibri"/>
                      <w:color w:val="auto"/>
                      <w:sz w:val="22"/>
                      <w:szCs w:val="22"/>
                    </w:rPr>
                    <w:t>地埋式一</w:t>
                  </w:r>
                  <w:r>
                    <w:rPr>
                      <w:rFonts w:hAnsi="Calibri"/>
                      <w:color w:val="auto"/>
                      <w:sz w:val="22"/>
                      <w:szCs w:val="22"/>
                    </w:rPr>
                    <w:t>体化</w:t>
                  </w:r>
                  <w:r>
                    <w:rPr>
                      <w:rFonts w:hint="eastAsia" w:hAnsi="Calibri"/>
                      <w:color w:val="auto"/>
                      <w:sz w:val="22"/>
                      <w:szCs w:val="22"/>
                    </w:rPr>
                    <w:t>污水</w:t>
                  </w:r>
                  <w:r>
                    <w:rPr>
                      <w:rFonts w:hAnsi="Calibri"/>
                      <w:color w:val="auto"/>
                      <w:sz w:val="22"/>
                      <w:szCs w:val="22"/>
                    </w:rPr>
                    <w:t>处理设施处理后</w:t>
                  </w:r>
                  <w:r>
                    <w:rPr>
                      <w:rFonts w:hint="eastAsia" w:hAnsi="Calibri"/>
                      <w:color w:val="auto"/>
                      <w:sz w:val="22"/>
                      <w:szCs w:val="22"/>
                    </w:rPr>
                    <w:t>作为厂区绿化用水</w:t>
                  </w:r>
                  <w:r>
                    <w:rPr>
                      <w:rFonts w:hAnsi="Calibri"/>
                      <w:color w:val="auto"/>
                      <w:sz w:val="22"/>
                      <w:szCs w:val="22"/>
                    </w:rPr>
                    <w:t>，不外排</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0" w:type="dxa"/>
                  <w:bottom w:w="0" w:type="dxa"/>
                  <w:right w:w="0" w:type="dxa"/>
                </w:tblCellMar>
              </w:tblPrEx>
              <w:trPr>
                <w:jc w:val="center"/>
              </w:trPr>
              <w:tc>
                <w:tcPr>
                  <w:tcW w:w="807"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302" w:type="dxa"/>
                  <w:vMerge w:val="continue"/>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p>
              </w:tc>
              <w:tc>
                <w:tcPr>
                  <w:tcW w:w="1769"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rPr>
                      <w:color w:val="auto"/>
                      <w:sz w:val="22"/>
                      <w:szCs w:val="22"/>
                    </w:rPr>
                  </w:pPr>
                  <w:r>
                    <w:rPr>
                      <w:rFonts w:hAnsi="Calibri"/>
                      <w:color w:val="auto"/>
                      <w:sz w:val="22"/>
                      <w:szCs w:val="22"/>
                    </w:rPr>
                    <w:t>噪声治理设施</w:t>
                  </w:r>
                </w:p>
              </w:tc>
              <w:tc>
                <w:tcPr>
                  <w:tcW w:w="5733" w:type="dxa"/>
                  <w:tcBorders>
                    <w:top w:val="single" w:color="000000" w:sz="8" w:space="0"/>
                    <w:left w:val="single" w:color="000000" w:sz="8" w:space="0"/>
                    <w:bottom w:val="single" w:color="000000" w:sz="8" w:space="0"/>
                    <w:right w:val="single" w:color="000000" w:sz="8" w:space="0"/>
                  </w:tcBorders>
                  <w:shd w:val="clear" w:color="auto" w:fill="FFFFFF"/>
                  <w:tcMar>
                    <w:left w:w="113" w:type="dxa"/>
                    <w:right w:w="113" w:type="dxa"/>
                  </w:tcMar>
                  <w:vAlign w:val="center"/>
                </w:tcPr>
                <w:p>
                  <w:pPr>
                    <w:pStyle w:val="85"/>
                    <w:adjustRightInd w:val="0"/>
                    <w:snapToGrid w:val="0"/>
                    <w:jc w:val="left"/>
                    <w:rPr>
                      <w:color w:val="auto"/>
                      <w:sz w:val="22"/>
                      <w:szCs w:val="22"/>
                    </w:rPr>
                  </w:pPr>
                  <w:r>
                    <w:rPr>
                      <w:rFonts w:hAnsi="Calibri"/>
                      <w:color w:val="auto"/>
                      <w:sz w:val="22"/>
                      <w:szCs w:val="22"/>
                    </w:rPr>
                    <w:t>墙体隔声、设备机</w:t>
                  </w:r>
                  <w:r>
                    <w:rPr>
                      <w:color w:val="auto"/>
                    </w:rPr>
                    <w:t>座设基础</w:t>
                  </w:r>
                  <w:r>
                    <w:rPr>
                      <w:rFonts w:hAnsi="Calibri"/>
                      <w:color w:val="auto"/>
                      <w:sz w:val="22"/>
                      <w:szCs w:val="22"/>
                    </w:rPr>
                    <w:t>减振并在厂界边界设置有砖砌实体围墙、种植树木、设置绿化带等等措施</w:t>
                  </w:r>
                </w:p>
              </w:tc>
            </w:tr>
          </w:tbl>
          <w:p>
            <w:pPr>
              <w:spacing w:line="360" w:lineRule="auto"/>
              <w:ind w:firstLine="482" w:firstLineChars="200"/>
              <w:rPr>
                <w:b/>
                <w:bCs/>
                <w:color w:val="auto"/>
                <w:sz w:val="24"/>
              </w:rPr>
            </w:pPr>
            <w:r>
              <w:rPr>
                <w:b/>
                <w:bCs/>
                <w:color w:val="auto"/>
                <w:sz w:val="24"/>
              </w:rPr>
              <w:t xml:space="preserve">2. </w:t>
            </w:r>
            <w:r>
              <w:rPr>
                <w:rFonts w:hAnsi="Calibri"/>
                <w:b/>
                <w:bCs/>
                <w:color w:val="auto"/>
                <w:sz w:val="24"/>
              </w:rPr>
              <w:t>产品名称和产品产量</w:t>
            </w:r>
          </w:p>
          <w:p>
            <w:pPr>
              <w:spacing w:line="360" w:lineRule="auto"/>
              <w:ind w:firstLine="480" w:firstLineChars="200"/>
              <w:rPr>
                <w:bCs/>
                <w:color w:val="auto"/>
                <w:sz w:val="24"/>
              </w:rPr>
            </w:pPr>
            <w:r>
              <w:rPr>
                <w:rFonts w:hAnsi="Calibri"/>
                <w:bCs/>
                <w:color w:val="auto"/>
                <w:sz w:val="24"/>
              </w:rPr>
              <w:t>本项目建成投产后</w:t>
            </w:r>
            <w:r>
              <w:rPr>
                <w:rFonts w:hAnsi="Calibri"/>
                <w:color w:val="auto"/>
                <w:kern w:val="0"/>
                <w:sz w:val="24"/>
              </w:rPr>
              <w:t>全厂年产商品混凝土</w:t>
            </w:r>
            <w:r>
              <w:rPr>
                <w:color w:val="auto"/>
                <w:kern w:val="0"/>
                <w:sz w:val="24"/>
              </w:rPr>
              <w:t>32</w:t>
            </w:r>
            <w:r>
              <w:rPr>
                <w:rFonts w:hAnsi="Calibri"/>
                <w:color w:val="auto"/>
                <w:kern w:val="0"/>
                <w:sz w:val="24"/>
              </w:rPr>
              <w:t>万吨，</w:t>
            </w:r>
            <w:r>
              <w:rPr>
                <w:rFonts w:hint="eastAsia" w:hAnsi="Calibri"/>
                <w:color w:val="auto"/>
                <w:kern w:val="0"/>
                <w:sz w:val="24"/>
              </w:rPr>
              <w:t>中间产品砂料</w:t>
            </w:r>
            <w:r>
              <w:rPr>
                <w:color w:val="auto"/>
                <w:kern w:val="0"/>
                <w:sz w:val="24"/>
              </w:rPr>
              <w:t>5</w:t>
            </w:r>
            <w:r>
              <w:rPr>
                <w:rFonts w:hAnsi="Calibri"/>
                <w:color w:val="auto"/>
                <w:kern w:val="0"/>
                <w:sz w:val="24"/>
              </w:rPr>
              <w:t>万吨</w:t>
            </w:r>
            <w:r>
              <w:rPr>
                <w:rFonts w:hint="eastAsia" w:hAnsi="Calibri"/>
                <w:color w:val="auto"/>
                <w:kern w:val="0"/>
                <w:sz w:val="24"/>
              </w:rPr>
              <w:t>（仅</w:t>
            </w:r>
            <w:r>
              <w:rPr>
                <w:rFonts w:hAnsi="Calibri"/>
                <w:color w:val="auto"/>
                <w:kern w:val="0"/>
                <w:sz w:val="24"/>
              </w:rPr>
              <w:t>作为本项目</w:t>
            </w:r>
            <w:r>
              <w:rPr>
                <w:rFonts w:hint="eastAsia" w:hAnsi="Calibri"/>
                <w:color w:val="auto"/>
                <w:kern w:val="0"/>
                <w:sz w:val="24"/>
              </w:rPr>
              <w:t>混</w:t>
            </w:r>
            <w:r>
              <w:rPr>
                <w:rFonts w:hAnsi="Calibri"/>
                <w:color w:val="auto"/>
                <w:kern w:val="0"/>
                <w:sz w:val="24"/>
              </w:rPr>
              <w:t>凝土搅拌生产线</w:t>
            </w:r>
            <w:r>
              <w:rPr>
                <w:rFonts w:hint="eastAsia" w:hAnsi="Calibri"/>
                <w:color w:val="auto"/>
                <w:kern w:val="0"/>
                <w:sz w:val="24"/>
              </w:rPr>
              <w:t>原料）</w:t>
            </w:r>
            <w:r>
              <w:rPr>
                <w:rFonts w:hAnsi="Calibri"/>
                <w:bCs/>
                <w:color w:val="auto"/>
                <w:sz w:val="24"/>
              </w:rPr>
              <w:t>。具体生产规模情况见表</w:t>
            </w:r>
            <w:r>
              <w:rPr>
                <w:bCs/>
                <w:color w:val="auto"/>
                <w:sz w:val="24"/>
              </w:rPr>
              <w:t>1-2</w:t>
            </w:r>
            <w:r>
              <w:rPr>
                <w:rFonts w:hAnsi="Calibri"/>
                <w:bCs/>
                <w:color w:val="auto"/>
                <w:sz w:val="24"/>
              </w:rPr>
              <w:t>。</w:t>
            </w:r>
          </w:p>
          <w:p>
            <w:pPr>
              <w:adjustRightInd w:val="0"/>
              <w:snapToGrid w:val="0"/>
              <w:jc w:val="center"/>
              <w:rPr>
                <w:b/>
                <w:color w:val="auto"/>
                <w:sz w:val="24"/>
              </w:rPr>
            </w:pPr>
            <w:r>
              <w:rPr>
                <w:rFonts w:hAnsi="Calibri"/>
                <w:b/>
                <w:color w:val="auto"/>
                <w:sz w:val="24"/>
              </w:rPr>
              <w:t>表</w:t>
            </w:r>
            <w:r>
              <w:rPr>
                <w:b/>
                <w:color w:val="auto"/>
                <w:sz w:val="24"/>
              </w:rPr>
              <w:t xml:space="preserve">1-2 </w:t>
            </w:r>
            <w:r>
              <w:rPr>
                <w:rFonts w:hAnsi="Calibri"/>
                <w:b/>
                <w:color w:val="auto"/>
                <w:sz w:val="24"/>
              </w:rPr>
              <w:t>产品年产量情况一览表</w:t>
            </w:r>
          </w:p>
          <w:tbl>
            <w:tblPr>
              <w:tblStyle w:val="29"/>
              <w:tblW w:w="9280"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594"/>
              <w:gridCol w:w="3318"/>
              <w:gridCol w:w="4368"/>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00" w:hRule="atLeast"/>
                <w:jc w:val="center"/>
              </w:trPr>
              <w:tc>
                <w:tcPr>
                  <w:tcW w:w="15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rFonts w:hAnsi="Calibri"/>
                      <w:color w:val="auto"/>
                      <w:sz w:val="22"/>
                      <w:szCs w:val="22"/>
                    </w:rPr>
                    <w:t>序号</w:t>
                  </w:r>
                </w:p>
              </w:tc>
              <w:tc>
                <w:tcPr>
                  <w:tcW w:w="331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rFonts w:hAnsi="Calibri"/>
                      <w:color w:val="auto"/>
                      <w:sz w:val="22"/>
                      <w:szCs w:val="22"/>
                    </w:rPr>
                    <w:t>产品名称</w:t>
                  </w:r>
                </w:p>
              </w:tc>
              <w:tc>
                <w:tcPr>
                  <w:tcW w:w="436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rFonts w:hAnsi="Calibri"/>
                      <w:color w:val="auto"/>
                      <w:sz w:val="22"/>
                      <w:szCs w:val="22"/>
                    </w:rPr>
                    <w:t>年产量</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5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color w:val="auto"/>
                      <w:sz w:val="22"/>
                      <w:szCs w:val="22"/>
                    </w:rPr>
                    <w:t>1</w:t>
                  </w:r>
                </w:p>
              </w:tc>
              <w:tc>
                <w:tcPr>
                  <w:tcW w:w="331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rFonts w:hAnsi="Calibri"/>
                      <w:color w:val="auto"/>
                      <w:sz w:val="22"/>
                      <w:szCs w:val="22"/>
                    </w:rPr>
                    <w:t>商品混凝土</w:t>
                  </w:r>
                </w:p>
              </w:tc>
              <w:tc>
                <w:tcPr>
                  <w:tcW w:w="436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color w:val="auto"/>
                      <w:sz w:val="22"/>
                      <w:szCs w:val="22"/>
                    </w:rPr>
                    <w:t>32</w:t>
                  </w:r>
                  <w:r>
                    <w:rPr>
                      <w:rFonts w:hAnsi="Calibri"/>
                      <w:color w:val="auto"/>
                      <w:sz w:val="22"/>
                      <w:szCs w:val="22"/>
                    </w:rPr>
                    <w:t>万</w:t>
                  </w:r>
                  <w:r>
                    <w:rPr>
                      <w:rFonts w:hAnsi="Calibri"/>
                      <w:color w:val="auto"/>
                      <w:kern w:val="0"/>
                      <w:sz w:val="24"/>
                    </w:rPr>
                    <w:t>吨</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594"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color w:val="auto"/>
                      <w:sz w:val="22"/>
                      <w:szCs w:val="22"/>
                    </w:rPr>
                    <w:t>2</w:t>
                  </w:r>
                </w:p>
              </w:tc>
              <w:tc>
                <w:tcPr>
                  <w:tcW w:w="331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rFonts w:hint="eastAsia" w:hAnsi="Calibri"/>
                      <w:color w:val="auto"/>
                      <w:sz w:val="22"/>
                      <w:szCs w:val="22"/>
                    </w:rPr>
                    <w:t>砂料（&lt;0.5mm）</w:t>
                  </w:r>
                </w:p>
              </w:tc>
              <w:tc>
                <w:tcPr>
                  <w:tcW w:w="4368"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2"/>
                      <w:szCs w:val="22"/>
                    </w:rPr>
                  </w:pPr>
                  <w:r>
                    <w:rPr>
                      <w:color w:val="auto"/>
                      <w:sz w:val="22"/>
                      <w:szCs w:val="22"/>
                    </w:rPr>
                    <w:t>5</w:t>
                  </w:r>
                  <w:r>
                    <w:rPr>
                      <w:rFonts w:hAnsi="Calibri"/>
                      <w:color w:val="auto"/>
                      <w:sz w:val="22"/>
                      <w:szCs w:val="22"/>
                    </w:rPr>
                    <w:t>万吨（中间产品）</w:t>
                  </w:r>
                </w:p>
              </w:tc>
            </w:tr>
          </w:tbl>
          <w:p>
            <w:pPr>
              <w:spacing w:line="360" w:lineRule="auto"/>
              <w:ind w:firstLine="482" w:firstLineChars="200"/>
              <w:rPr>
                <w:b/>
                <w:color w:val="auto"/>
                <w:sz w:val="24"/>
              </w:rPr>
            </w:pPr>
            <w:r>
              <w:rPr>
                <w:b/>
                <w:color w:val="auto"/>
                <w:sz w:val="24"/>
              </w:rPr>
              <w:t xml:space="preserve">3. </w:t>
            </w:r>
            <w:r>
              <w:rPr>
                <w:rFonts w:hAnsi="Calibri"/>
                <w:b/>
                <w:color w:val="auto"/>
                <w:sz w:val="24"/>
              </w:rPr>
              <w:t>主要设备清单及原辅材料</w:t>
            </w:r>
          </w:p>
          <w:p>
            <w:pPr>
              <w:spacing w:line="360" w:lineRule="auto"/>
              <w:ind w:firstLine="480" w:firstLineChars="200"/>
              <w:rPr>
                <w:b/>
                <w:color w:val="auto"/>
                <w:sz w:val="24"/>
              </w:rPr>
            </w:pPr>
            <w:r>
              <w:rPr>
                <w:rFonts w:hAnsi="Calibri"/>
                <w:bCs/>
                <w:color w:val="auto"/>
                <w:sz w:val="24"/>
              </w:rPr>
              <w:t>本项目的</w:t>
            </w:r>
            <w:r>
              <w:rPr>
                <w:rFonts w:hAnsi="Calibri"/>
                <w:color w:val="auto"/>
                <w:sz w:val="24"/>
              </w:rPr>
              <w:t>设备清单、原辅材料见表</w:t>
            </w:r>
            <w:r>
              <w:rPr>
                <w:color w:val="auto"/>
                <w:sz w:val="24"/>
              </w:rPr>
              <w:t>1-3</w:t>
            </w:r>
            <w:r>
              <w:rPr>
                <w:rFonts w:hAnsi="Calibri"/>
                <w:color w:val="auto"/>
                <w:sz w:val="24"/>
              </w:rPr>
              <w:t>至表</w:t>
            </w:r>
            <w:r>
              <w:rPr>
                <w:color w:val="auto"/>
                <w:sz w:val="24"/>
              </w:rPr>
              <w:t>1-8</w:t>
            </w:r>
            <w:r>
              <w:rPr>
                <w:rFonts w:hAnsi="Calibri"/>
                <w:color w:val="auto"/>
                <w:sz w:val="24"/>
              </w:rPr>
              <w:t>。</w:t>
            </w:r>
          </w:p>
          <w:p>
            <w:pPr>
              <w:adjustRightInd w:val="0"/>
              <w:snapToGrid w:val="0"/>
              <w:jc w:val="center"/>
              <w:rPr>
                <w:b/>
                <w:bCs/>
                <w:color w:val="auto"/>
                <w:sz w:val="24"/>
              </w:rPr>
            </w:pPr>
            <w:r>
              <w:rPr>
                <w:rFonts w:hAnsi="Calibri"/>
                <w:b/>
                <w:color w:val="auto"/>
                <w:sz w:val="24"/>
              </w:rPr>
              <w:t>表</w:t>
            </w:r>
            <w:r>
              <w:rPr>
                <w:b/>
                <w:color w:val="auto"/>
                <w:sz w:val="24"/>
              </w:rPr>
              <w:t>1-3</w:t>
            </w:r>
            <w:r>
              <w:rPr>
                <w:rFonts w:hAnsi="Calibri"/>
                <w:b/>
                <w:color w:val="auto"/>
                <w:sz w:val="24"/>
              </w:rPr>
              <w:t>干式制砂</w:t>
            </w:r>
            <w:r>
              <w:rPr>
                <w:rFonts w:hAnsi="Calibri"/>
                <w:b/>
                <w:bCs/>
                <w:color w:val="auto"/>
                <w:sz w:val="24"/>
              </w:rPr>
              <w:t>生产线设备情况一览表</w:t>
            </w:r>
          </w:p>
          <w:tbl>
            <w:tblPr>
              <w:tblStyle w:val="29"/>
              <w:tblW w:w="7270" w:type="dxa"/>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795"/>
              <w:gridCol w:w="1710"/>
              <w:gridCol w:w="1700"/>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设备名称</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数量</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设备名称</w:t>
                  </w:r>
                </w:p>
              </w:tc>
              <w:tc>
                <w:tcPr>
                  <w:tcW w:w="170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数量</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int="eastAsia" w:hAnsi="Calibri"/>
                      <w:color w:val="auto"/>
                      <w:sz w:val="24"/>
                    </w:rPr>
                    <w:t>粉</w:t>
                  </w:r>
                  <w:r>
                    <w:rPr>
                      <w:rFonts w:hAnsi="Calibri"/>
                      <w:color w:val="auto"/>
                      <w:sz w:val="24"/>
                    </w:rPr>
                    <w:t>料仓</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湿砂皮带机Ａ</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原料皮带机</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2</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湿砂皮带机Ｂ</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rFonts w:hAnsi="Calibri"/>
                      <w:color w:val="auto"/>
                      <w:sz w:val="24"/>
                    </w:rPr>
                    <w:t>提升机</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湿砂皮带机Ｃ</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置顶皮带机</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湿砂皮带机Ｄ</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整形机</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双向皮带机</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振动筛</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除尘系统</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返回料皮带</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气路系统</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制砂主楼钢结构</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电控系统</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06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Ansi="Calibri"/>
                      <w:color w:val="auto"/>
                      <w:sz w:val="24"/>
                    </w:rPr>
                    <w:t>加</w:t>
                  </w:r>
                  <w:r>
                    <w:rPr>
                      <w:rFonts w:hint="eastAsia" w:hAnsi="Calibri"/>
                      <w:color w:val="auto"/>
                      <w:sz w:val="24"/>
                    </w:rPr>
                    <w:t>湿搅拌</w:t>
                  </w:r>
                  <w:r>
                    <w:rPr>
                      <w:rFonts w:hAnsi="Calibri"/>
                      <w:color w:val="auto"/>
                      <w:sz w:val="24"/>
                    </w:rPr>
                    <w:t>器</w:t>
                  </w:r>
                </w:p>
              </w:tc>
              <w:tc>
                <w:tcPr>
                  <w:tcW w:w="17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color w:val="auto"/>
                      <w:sz w:val="24"/>
                    </w:rPr>
                    <w:t>1</w:t>
                  </w:r>
                  <w:r>
                    <w:rPr>
                      <w:rFonts w:hAnsi="Calibri"/>
                      <w:color w:val="auto"/>
                      <w:sz w:val="24"/>
                    </w:rPr>
                    <w:t>套</w:t>
                  </w:r>
                </w:p>
              </w:tc>
              <w:tc>
                <w:tcPr>
                  <w:tcW w:w="1710"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 w:val="24"/>
                    </w:rPr>
                  </w:pPr>
                  <w:r>
                    <w:rPr>
                      <w:rFonts w:hint="eastAsia" w:hAnsi="Calibri"/>
                      <w:color w:val="auto"/>
                      <w:sz w:val="24"/>
                    </w:rPr>
                    <w:t>石粉</w:t>
                  </w:r>
                  <w:r>
                    <w:rPr>
                      <w:rFonts w:hAnsi="Calibri"/>
                      <w:color w:val="auto"/>
                      <w:sz w:val="24"/>
                    </w:rPr>
                    <w:t>分</w:t>
                  </w:r>
                  <w:r>
                    <w:rPr>
                      <w:rFonts w:hint="eastAsia" w:hAnsi="Calibri"/>
                      <w:color w:val="auto"/>
                      <w:sz w:val="24"/>
                    </w:rPr>
                    <w:t>离</w:t>
                  </w:r>
                  <w:r>
                    <w:rPr>
                      <w:rFonts w:hAnsi="Calibri"/>
                      <w:color w:val="auto"/>
                      <w:sz w:val="24"/>
                    </w:rPr>
                    <w:t>室</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rPr>
                  </w:pPr>
                  <w:r>
                    <w:rPr>
                      <w:color w:val="auto"/>
                    </w:rPr>
                    <w:t>1套</w:t>
                  </w:r>
                </w:p>
              </w:tc>
            </w:tr>
          </w:tbl>
          <w:p>
            <w:pPr>
              <w:adjustRightInd w:val="0"/>
              <w:snapToGrid w:val="0"/>
              <w:jc w:val="center"/>
              <w:rPr>
                <w:b/>
                <w:color w:val="auto"/>
                <w:sz w:val="24"/>
              </w:rPr>
            </w:pPr>
          </w:p>
          <w:p>
            <w:pPr>
              <w:adjustRightInd w:val="0"/>
              <w:snapToGrid w:val="0"/>
              <w:jc w:val="center"/>
              <w:rPr>
                <w:b/>
                <w:bCs/>
                <w:color w:val="auto"/>
                <w:sz w:val="24"/>
              </w:rPr>
            </w:pPr>
            <w:r>
              <w:rPr>
                <w:b/>
                <w:color w:val="auto"/>
                <w:sz w:val="24"/>
              </w:rPr>
              <w:t>表1-4　HZS180混凝土搅拌站</w:t>
            </w:r>
            <w:r>
              <w:rPr>
                <w:b/>
                <w:bCs/>
                <w:color w:val="auto"/>
                <w:sz w:val="24"/>
              </w:rPr>
              <w:t>生产线设备情况一览表</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1504"/>
              <w:gridCol w:w="2551"/>
              <w:gridCol w:w="2410"/>
              <w:gridCol w:w="9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pPr>
                    <w:adjustRightInd w:val="0"/>
                    <w:snapToGrid w:val="0"/>
                    <w:jc w:val="center"/>
                    <w:rPr>
                      <w:b/>
                      <w:color w:val="auto"/>
                      <w:sz w:val="24"/>
                    </w:rPr>
                  </w:pPr>
                  <w:r>
                    <w:rPr>
                      <w:rFonts w:hint="eastAsia"/>
                      <w:b/>
                      <w:color w:val="auto"/>
                      <w:sz w:val="24"/>
                    </w:rPr>
                    <w:t>序号</w:t>
                  </w:r>
                </w:p>
              </w:tc>
              <w:tc>
                <w:tcPr>
                  <w:tcW w:w="4055" w:type="dxa"/>
                  <w:gridSpan w:val="2"/>
                </w:tcPr>
                <w:p>
                  <w:pPr>
                    <w:adjustRightInd w:val="0"/>
                    <w:snapToGrid w:val="0"/>
                    <w:jc w:val="center"/>
                    <w:rPr>
                      <w:b/>
                      <w:color w:val="auto"/>
                      <w:sz w:val="24"/>
                    </w:rPr>
                  </w:pPr>
                  <w:r>
                    <w:rPr>
                      <w:rFonts w:hint="eastAsia"/>
                      <w:b/>
                      <w:color w:val="auto"/>
                      <w:sz w:val="24"/>
                    </w:rPr>
                    <w:t>名称</w:t>
                  </w:r>
                </w:p>
              </w:tc>
              <w:tc>
                <w:tcPr>
                  <w:tcW w:w="2410" w:type="dxa"/>
                </w:tcPr>
                <w:p>
                  <w:pPr>
                    <w:adjustRightInd w:val="0"/>
                    <w:snapToGrid w:val="0"/>
                    <w:jc w:val="center"/>
                    <w:rPr>
                      <w:b/>
                      <w:color w:val="auto"/>
                      <w:sz w:val="24"/>
                    </w:rPr>
                  </w:pPr>
                  <w:r>
                    <w:rPr>
                      <w:rFonts w:hint="eastAsia"/>
                      <w:b/>
                      <w:color w:val="auto"/>
                      <w:sz w:val="24"/>
                    </w:rPr>
                    <w:t>规格</w:t>
                  </w:r>
                </w:p>
              </w:tc>
              <w:tc>
                <w:tcPr>
                  <w:tcW w:w="979" w:type="dxa"/>
                </w:tcPr>
                <w:p>
                  <w:pPr>
                    <w:adjustRightInd w:val="0"/>
                    <w:snapToGrid w:val="0"/>
                    <w:jc w:val="center"/>
                    <w:rPr>
                      <w:b/>
                      <w:color w:val="auto"/>
                      <w:sz w:val="24"/>
                    </w:rPr>
                  </w:pPr>
                  <w:r>
                    <w:rPr>
                      <w:rFonts w:hint="eastAsia"/>
                      <w:b/>
                      <w:color w:val="auto"/>
                      <w:sz w:val="24"/>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1</w:t>
                  </w:r>
                </w:p>
              </w:tc>
              <w:tc>
                <w:tcPr>
                  <w:tcW w:w="1504" w:type="dxa"/>
                  <w:vMerge w:val="restart"/>
                  <w:vAlign w:val="center"/>
                </w:tcPr>
                <w:p>
                  <w:pPr>
                    <w:adjustRightInd w:val="0"/>
                    <w:snapToGrid w:val="0"/>
                    <w:jc w:val="center"/>
                    <w:rPr>
                      <w:color w:val="auto"/>
                      <w:sz w:val="24"/>
                    </w:rPr>
                  </w:pPr>
                  <w:r>
                    <w:rPr>
                      <w:rFonts w:hint="eastAsia"/>
                      <w:color w:val="auto"/>
                      <w:sz w:val="24"/>
                    </w:rPr>
                    <w:t>配料</w:t>
                  </w:r>
                  <w:r>
                    <w:rPr>
                      <w:color w:val="auto"/>
                      <w:sz w:val="24"/>
                    </w:rPr>
                    <w:t>站</w:t>
                  </w:r>
                </w:p>
              </w:tc>
              <w:tc>
                <w:tcPr>
                  <w:tcW w:w="2551" w:type="dxa"/>
                </w:tcPr>
                <w:p>
                  <w:pPr>
                    <w:adjustRightInd w:val="0"/>
                    <w:snapToGrid w:val="0"/>
                    <w:jc w:val="center"/>
                    <w:rPr>
                      <w:color w:val="auto"/>
                      <w:sz w:val="24"/>
                    </w:rPr>
                  </w:pPr>
                  <w:r>
                    <w:rPr>
                      <w:rFonts w:hint="eastAsia"/>
                      <w:color w:val="auto"/>
                      <w:sz w:val="24"/>
                    </w:rPr>
                    <w:t>储</w:t>
                  </w:r>
                  <w:r>
                    <w:rPr>
                      <w:color w:val="auto"/>
                      <w:sz w:val="24"/>
                    </w:rPr>
                    <w:t>料仓</w:t>
                  </w:r>
                </w:p>
              </w:tc>
              <w:tc>
                <w:tcPr>
                  <w:tcW w:w="2410" w:type="dxa"/>
                </w:tcPr>
                <w:p>
                  <w:pPr>
                    <w:adjustRightInd w:val="0"/>
                    <w:snapToGrid w:val="0"/>
                    <w:jc w:val="center"/>
                    <w:rPr>
                      <w:color w:val="auto"/>
                      <w:sz w:val="24"/>
                    </w:rPr>
                  </w:pPr>
                  <w:r>
                    <w:rPr>
                      <w:rFonts w:hint="eastAsia"/>
                      <w:color w:val="auto"/>
                      <w:sz w:val="24"/>
                    </w:rPr>
                    <w:t>25</w:t>
                  </w:r>
                  <w:r>
                    <w:rPr>
                      <w:color w:val="auto"/>
                      <w:sz w:val="24"/>
                    </w:rPr>
                    <w:t>m</w:t>
                  </w:r>
                  <w:r>
                    <w:rPr>
                      <w:color w:val="auto"/>
                      <w:sz w:val="24"/>
                      <w:vertAlign w:val="superscript"/>
                    </w:rPr>
                    <w:t>3</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计量斗</w:t>
                  </w:r>
                </w:p>
              </w:tc>
              <w:tc>
                <w:tcPr>
                  <w:tcW w:w="2410" w:type="dxa"/>
                </w:tcPr>
                <w:p>
                  <w:pPr>
                    <w:adjustRightInd w:val="0"/>
                    <w:snapToGrid w:val="0"/>
                    <w:jc w:val="center"/>
                    <w:rPr>
                      <w:color w:val="auto"/>
                      <w:sz w:val="24"/>
                    </w:rPr>
                  </w:pPr>
                  <w:r>
                    <w:rPr>
                      <w:rFonts w:hint="eastAsia"/>
                      <w:color w:val="auto"/>
                      <w:sz w:val="24"/>
                    </w:rPr>
                    <w:t>2.5</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称</w:t>
                  </w:r>
                  <w:r>
                    <w:rPr>
                      <w:color w:val="auto"/>
                      <w:sz w:val="24"/>
                    </w:rPr>
                    <w:t>重传感器</w:t>
                  </w:r>
                </w:p>
              </w:tc>
              <w:tc>
                <w:tcPr>
                  <w:tcW w:w="2410" w:type="dxa"/>
                </w:tcPr>
                <w:p>
                  <w:pPr>
                    <w:adjustRightInd w:val="0"/>
                    <w:snapToGrid w:val="0"/>
                    <w:jc w:val="center"/>
                    <w:rPr>
                      <w:color w:val="auto"/>
                      <w:sz w:val="24"/>
                    </w:rPr>
                  </w:pPr>
                  <w:r>
                    <w:rPr>
                      <w:rFonts w:hint="eastAsia"/>
                      <w:color w:val="auto"/>
                      <w:sz w:val="24"/>
                    </w:rPr>
                    <w:t>2000kg</w:t>
                  </w:r>
                </w:p>
              </w:tc>
              <w:tc>
                <w:tcPr>
                  <w:tcW w:w="979" w:type="dxa"/>
                </w:tcPr>
                <w:p>
                  <w:pPr>
                    <w:adjustRightInd w:val="0"/>
                    <w:snapToGrid w:val="0"/>
                    <w:jc w:val="center"/>
                    <w:rPr>
                      <w:color w:val="auto"/>
                      <w:sz w:val="24"/>
                    </w:rPr>
                  </w:pPr>
                  <w:r>
                    <w:rPr>
                      <w:color w:val="auto"/>
                      <w:sz w:val="24"/>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缸</w:t>
                  </w:r>
                </w:p>
              </w:tc>
              <w:tc>
                <w:tcPr>
                  <w:tcW w:w="2410" w:type="dxa"/>
                </w:tcPr>
                <w:p>
                  <w:pPr>
                    <w:adjustRightInd w:val="0"/>
                    <w:snapToGrid w:val="0"/>
                    <w:jc w:val="center"/>
                    <w:rPr>
                      <w:color w:val="auto"/>
                      <w:sz w:val="24"/>
                    </w:rPr>
                  </w:pPr>
                  <w:r>
                    <w:rPr>
                      <w:rFonts w:hint="eastAsia"/>
                      <w:color w:val="auto"/>
                      <w:sz w:val="24"/>
                    </w:rPr>
                    <w:t>缸</w:t>
                  </w:r>
                  <w:r>
                    <w:rPr>
                      <w:color w:val="auto"/>
                      <w:sz w:val="24"/>
                    </w:rPr>
                    <w:t>径：</w:t>
                  </w:r>
                  <w:r>
                    <w:rPr>
                      <w:rFonts w:hint="eastAsia" w:ascii="宋体" w:hAnsi="宋体"/>
                      <w:color w:val="auto"/>
                      <w:sz w:val="24"/>
                    </w:rPr>
                    <w:t>Φ100</w:t>
                  </w:r>
                  <w:r>
                    <w:rPr>
                      <w:rFonts w:ascii="宋体" w:hAnsi="宋体"/>
                      <w:color w:val="auto"/>
                      <w:sz w:val="24"/>
                    </w:rPr>
                    <w:t>mm</w:t>
                  </w:r>
                </w:p>
              </w:tc>
              <w:tc>
                <w:tcPr>
                  <w:tcW w:w="979" w:type="dxa"/>
                </w:tcPr>
                <w:p>
                  <w:pPr>
                    <w:adjustRightInd w:val="0"/>
                    <w:snapToGrid w:val="0"/>
                    <w:jc w:val="center"/>
                    <w:rPr>
                      <w:color w:val="auto"/>
                      <w:sz w:val="24"/>
                    </w:rPr>
                  </w:pPr>
                  <w:r>
                    <w:rPr>
                      <w:color w:val="auto"/>
                      <w:sz w:val="24"/>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振动</w:t>
                  </w:r>
                  <w:r>
                    <w:rPr>
                      <w:color w:val="auto"/>
                      <w:sz w:val="24"/>
                    </w:rPr>
                    <w:t>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输送</w:t>
                  </w:r>
                  <w:r>
                    <w:rPr>
                      <w:color w:val="auto"/>
                      <w:sz w:val="24"/>
                    </w:rPr>
                    <w:t>带</w:t>
                  </w:r>
                </w:p>
              </w:tc>
              <w:tc>
                <w:tcPr>
                  <w:tcW w:w="2410" w:type="dxa"/>
                </w:tcPr>
                <w:p>
                  <w:pPr>
                    <w:adjustRightInd w:val="0"/>
                    <w:snapToGrid w:val="0"/>
                    <w:jc w:val="center"/>
                    <w:rPr>
                      <w:color w:val="auto"/>
                      <w:sz w:val="24"/>
                    </w:rPr>
                  </w:pPr>
                  <w:r>
                    <w:rPr>
                      <w:rFonts w:hint="eastAsia"/>
                      <w:color w:val="auto"/>
                      <w:sz w:val="24"/>
                    </w:rPr>
                    <w:t>1000mm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传动</w:t>
                  </w:r>
                  <w:r>
                    <w:rPr>
                      <w:color w:val="auto"/>
                      <w:sz w:val="24"/>
                    </w:rPr>
                    <w:t>装置</w:t>
                  </w:r>
                </w:p>
              </w:tc>
              <w:tc>
                <w:tcPr>
                  <w:tcW w:w="2410" w:type="dxa"/>
                </w:tcPr>
                <w:p>
                  <w:pPr>
                    <w:adjustRightInd w:val="0"/>
                    <w:snapToGrid w:val="0"/>
                    <w:jc w:val="center"/>
                    <w:rPr>
                      <w:color w:val="auto"/>
                      <w:sz w:val="24"/>
                    </w:rPr>
                  </w:pPr>
                  <w:r>
                    <w:rPr>
                      <w:rFonts w:hint="eastAsia"/>
                      <w:color w:val="auto"/>
                      <w:sz w:val="24"/>
                    </w:rPr>
                    <w:t>11kw</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2</w:t>
                  </w:r>
                </w:p>
              </w:tc>
              <w:tc>
                <w:tcPr>
                  <w:tcW w:w="1504" w:type="dxa"/>
                  <w:vMerge w:val="restart"/>
                  <w:vAlign w:val="center"/>
                </w:tcPr>
                <w:p>
                  <w:pPr>
                    <w:adjustRightInd w:val="0"/>
                    <w:snapToGrid w:val="0"/>
                    <w:jc w:val="center"/>
                    <w:rPr>
                      <w:color w:val="auto"/>
                      <w:sz w:val="24"/>
                    </w:rPr>
                  </w:pPr>
                  <w:r>
                    <w:rPr>
                      <w:rFonts w:hint="eastAsia"/>
                      <w:color w:val="auto"/>
                      <w:sz w:val="24"/>
                    </w:rPr>
                    <w:t>斜</w:t>
                  </w:r>
                  <w:r>
                    <w:rPr>
                      <w:color w:val="auto"/>
                      <w:sz w:val="24"/>
                    </w:rPr>
                    <w:t>皮带机</w:t>
                  </w:r>
                </w:p>
              </w:tc>
              <w:tc>
                <w:tcPr>
                  <w:tcW w:w="2551" w:type="dxa"/>
                </w:tcPr>
                <w:p>
                  <w:pPr>
                    <w:adjustRightInd w:val="0"/>
                    <w:snapToGrid w:val="0"/>
                    <w:jc w:val="center"/>
                    <w:rPr>
                      <w:color w:val="auto"/>
                      <w:sz w:val="24"/>
                    </w:rPr>
                  </w:pPr>
                  <w:r>
                    <w:rPr>
                      <w:rFonts w:hint="eastAsia"/>
                      <w:color w:val="auto"/>
                      <w:sz w:val="24"/>
                    </w:rPr>
                    <w:t>机</w:t>
                  </w:r>
                  <w:r>
                    <w:rPr>
                      <w:color w:val="auto"/>
                      <w:sz w:val="24"/>
                    </w:rPr>
                    <w:t>驾</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输送</w:t>
                  </w:r>
                  <w:r>
                    <w:rPr>
                      <w:color w:val="auto"/>
                      <w:sz w:val="24"/>
                    </w:rPr>
                    <w:t>带</w:t>
                  </w:r>
                </w:p>
              </w:tc>
              <w:tc>
                <w:tcPr>
                  <w:tcW w:w="2410" w:type="dxa"/>
                </w:tcPr>
                <w:p>
                  <w:pPr>
                    <w:adjustRightInd w:val="0"/>
                    <w:snapToGrid w:val="0"/>
                    <w:jc w:val="center"/>
                    <w:rPr>
                      <w:color w:val="auto"/>
                      <w:sz w:val="24"/>
                    </w:rPr>
                  </w:pPr>
                  <w:r>
                    <w:rPr>
                      <w:rFonts w:hint="eastAsia"/>
                      <w:color w:val="auto"/>
                      <w:sz w:val="24"/>
                    </w:rPr>
                    <w:t>1000</w:t>
                  </w:r>
                  <w:r>
                    <w:rPr>
                      <w:color w:val="auto"/>
                      <w:sz w:val="24"/>
                    </w:rPr>
                    <w:t>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传</w:t>
                  </w:r>
                  <w:r>
                    <w:rPr>
                      <w:color w:val="auto"/>
                      <w:sz w:val="24"/>
                    </w:rPr>
                    <w:t>动装置</w:t>
                  </w:r>
                </w:p>
              </w:tc>
              <w:tc>
                <w:tcPr>
                  <w:tcW w:w="2410" w:type="dxa"/>
                </w:tcPr>
                <w:p>
                  <w:pPr>
                    <w:adjustRightInd w:val="0"/>
                    <w:snapToGrid w:val="0"/>
                    <w:jc w:val="center"/>
                    <w:rPr>
                      <w:color w:val="auto"/>
                      <w:sz w:val="24"/>
                    </w:rPr>
                  </w:pPr>
                  <w:r>
                    <w:rPr>
                      <w:rFonts w:hint="eastAsia"/>
                      <w:color w:val="auto"/>
                      <w:sz w:val="24"/>
                    </w:rPr>
                    <w:t>45kw</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rPr>
                      <w:color w:val="auto"/>
                      <w:sz w:val="24"/>
                    </w:rPr>
                  </w:pPr>
                </w:p>
              </w:tc>
              <w:tc>
                <w:tcPr>
                  <w:tcW w:w="1504" w:type="dxa"/>
                  <w:vMerge w:val="continue"/>
                </w:tcPr>
                <w:p>
                  <w:pPr>
                    <w:adjustRightInd w:val="0"/>
                    <w:snapToGrid w:val="0"/>
                    <w:rPr>
                      <w:color w:val="auto"/>
                      <w:sz w:val="24"/>
                    </w:rPr>
                  </w:pPr>
                </w:p>
              </w:tc>
              <w:tc>
                <w:tcPr>
                  <w:tcW w:w="2551" w:type="dxa"/>
                </w:tcPr>
                <w:p>
                  <w:pPr>
                    <w:adjustRightInd w:val="0"/>
                    <w:snapToGrid w:val="0"/>
                    <w:jc w:val="center"/>
                    <w:rPr>
                      <w:color w:val="auto"/>
                      <w:sz w:val="24"/>
                    </w:rPr>
                  </w:pPr>
                  <w:r>
                    <w:rPr>
                      <w:rFonts w:hint="eastAsia"/>
                      <w:color w:val="auto"/>
                      <w:sz w:val="24"/>
                    </w:rPr>
                    <w:t>托</w:t>
                  </w:r>
                  <w:r>
                    <w:rPr>
                      <w:color w:val="auto"/>
                      <w:sz w:val="24"/>
                    </w:rPr>
                    <w:t>辊</w:t>
                  </w:r>
                </w:p>
              </w:tc>
              <w:tc>
                <w:tcPr>
                  <w:tcW w:w="2410" w:type="dxa"/>
                </w:tcPr>
                <w:p>
                  <w:pPr>
                    <w:adjustRightInd w:val="0"/>
                    <w:snapToGrid w:val="0"/>
                    <w:jc w:val="center"/>
                    <w:rPr>
                      <w:color w:val="auto"/>
                      <w:sz w:val="24"/>
                    </w:rPr>
                  </w:pPr>
                  <w:r>
                    <w:rPr>
                      <w:rFonts w:hint="eastAsia" w:ascii="宋体" w:hAnsi="宋体"/>
                      <w:color w:val="auto"/>
                      <w:sz w:val="24"/>
                    </w:rPr>
                    <w:t>Φ108*1000mm</w:t>
                  </w: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pPr>
                    <w:adjustRightInd w:val="0"/>
                    <w:snapToGrid w:val="0"/>
                    <w:jc w:val="center"/>
                    <w:rPr>
                      <w:color w:val="auto"/>
                      <w:sz w:val="24"/>
                    </w:rPr>
                  </w:pPr>
                  <w:r>
                    <w:rPr>
                      <w:rFonts w:hint="eastAsia"/>
                      <w:color w:val="auto"/>
                      <w:sz w:val="24"/>
                    </w:rPr>
                    <w:t>3</w:t>
                  </w:r>
                </w:p>
              </w:tc>
              <w:tc>
                <w:tcPr>
                  <w:tcW w:w="1504" w:type="dxa"/>
                </w:tcPr>
                <w:p>
                  <w:pPr>
                    <w:adjustRightInd w:val="0"/>
                    <w:snapToGrid w:val="0"/>
                    <w:jc w:val="center"/>
                    <w:rPr>
                      <w:color w:val="auto"/>
                      <w:sz w:val="24"/>
                    </w:rPr>
                  </w:pPr>
                  <w:r>
                    <w:rPr>
                      <w:rFonts w:hint="eastAsia"/>
                      <w:color w:val="auto"/>
                      <w:sz w:val="24"/>
                    </w:rPr>
                    <w:t>主</w:t>
                  </w:r>
                  <w:r>
                    <w:rPr>
                      <w:color w:val="auto"/>
                      <w:sz w:val="24"/>
                    </w:rPr>
                    <w:t>机</w:t>
                  </w:r>
                </w:p>
              </w:tc>
              <w:tc>
                <w:tcPr>
                  <w:tcW w:w="2551" w:type="dxa"/>
                </w:tcPr>
                <w:p>
                  <w:pPr>
                    <w:adjustRightInd w:val="0"/>
                    <w:snapToGrid w:val="0"/>
                    <w:jc w:val="center"/>
                    <w:rPr>
                      <w:color w:val="auto"/>
                      <w:sz w:val="24"/>
                    </w:rPr>
                  </w:pPr>
                  <w:r>
                    <w:rPr>
                      <w:rFonts w:hint="eastAsia"/>
                      <w:color w:val="auto"/>
                      <w:sz w:val="24"/>
                    </w:rPr>
                    <w:t>搅拌</w:t>
                  </w:r>
                  <w:r>
                    <w:rPr>
                      <w:color w:val="auto"/>
                      <w:sz w:val="24"/>
                    </w:rPr>
                    <w:t>机</w:t>
                  </w:r>
                </w:p>
              </w:tc>
              <w:tc>
                <w:tcPr>
                  <w:tcW w:w="2410" w:type="dxa"/>
                </w:tcPr>
                <w:p>
                  <w:pPr>
                    <w:adjustRightInd w:val="0"/>
                    <w:snapToGrid w:val="0"/>
                    <w:jc w:val="center"/>
                    <w:rPr>
                      <w:color w:val="auto"/>
                      <w:sz w:val="24"/>
                    </w:rPr>
                  </w:pPr>
                  <w:r>
                    <w:rPr>
                      <w:rFonts w:hint="eastAsia"/>
                      <w:color w:val="auto"/>
                      <w:sz w:val="24"/>
                    </w:rPr>
                    <w:t>公称</w:t>
                  </w:r>
                  <w:r>
                    <w:rPr>
                      <w:color w:val="auto"/>
                      <w:sz w:val="24"/>
                    </w:rPr>
                    <w:t>容积：</w:t>
                  </w:r>
                  <w:r>
                    <w:rPr>
                      <w:rFonts w:hint="eastAsia"/>
                      <w:color w:val="auto"/>
                      <w:sz w:val="24"/>
                    </w:rPr>
                    <w:t>3</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4</w:t>
                  </w:r>
                </w:p>
              </w:tc>
              <w:tc>
                <w:tcPr>
                  <w:tcW w:w="1504" w:type="dxa"/>
                  <w:vMerge w:val="restart"/>
                  <w:vAlign w:val="center"/>
                </w:tcPr>
                <w:p>
                  <w:pPr>
                    <w:adjustRightInd w:val="0"/>
                    <w:snapToGrid w:val="0"/>
                    <w:jc w:val="center"/>
                    <w:rPr>
                      <w:color w:val="auto"/>
                      <w:sz w:val="24"/>
                    </w:rPr>
                  </w:pPr>
                  <w:r>
                    <w:rPr>
                      <w:rFonts w:hint="eastAsia"/>
                      <w:color w:val="auto"/>
                      <w:sz w:val="24"/>
                    </w:rPr>
                    <w:t>水泥</w:t>
                  </w:r>
                  <w:r>
                    <w:rPr>
                      <w:color w:val="auto"/>
                      <w:sz w:val="24"/>
                    </w:rPr>
                    <w:t>计量</w:t>
                  </w:r>
                </w:p>
              </w:tc>
              <w:tc>
                <w:tcPr>
                  <w:tcW w:w="2551" w:type="dxa"/>
                </w:tcPr>
                <w:p>
                  <w:pPr>
                    <w:adjustRightInd w:val="0"/>
                    <w:snapToGrid w:val="0"/>
                    <w:jc w:val="center"/>
                    <w:rPr>
                      <w:color w:val="auto"/>
                      <w:sz w:val="24"/>
                    </w:rPr>
                  </w:pPr>
                  <w:r>
                    <w:rPr>
                      <w:rFonts w:hint="eastAsia"/>
                      <w:color w:val="auto"/>
                      <w:sz w:val="24"/>
                    </w:rPr>
                    <w:t>计量</w:t>
                  </w:r>
                  <w:r>
                    <w:rPr>
                      <w:color w:val="auto"/>
                      <w:sz w:val="24"/>
                    </w:rPr>
                    <w:t>斗</w:t>
                  </w:r>
                </w:p>
              </w:tc>
              <w:tc>
                <w:tcPr>
                  <w:tcW w:w="2410" w:type="dxa"/>
                </w:tcPr>
                <w:p>
                  <w:pPr>
                    <w:adjustRightInd w:val="0"/>
                    <w:snapToGrid w:val="0"/>
                    <w:jc w:val="center"/>
                    <w:rPr>
                      <w:color w:val="auto"/>
                      <w:sz w:val="24"/>
                    </w:rPr>
                  </w:pPr>
                  <w:r>
                    <w:rPr>
                      <w:rFonts w:hint="eastAsia"/>
                      <w:color w:val="auto"/>
                      <w:sz w:val="24"/>
                    </w:rPr>
                    <w:t>1.5</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稳重</w:t>
                  </w:r>
                  <w:r>
                    <w:rPr>
                      <w:color w:val="auto"/>
                      <w:sz w:val="24"/>
                    </w:rPr>
                    <w:t>传感器</w:t>
                  </w:r>
                </w:p>
              </w:tc>
              <w:tc>
                <w:tcPr>
                  <w:tcW w:w="2410" w:type="dxa"/>
                </w:tcPr>
                <w:p>
                  <w:pPr>
                    <w:adjustRightInd w:val="0"/>
                    <w:snapToGrid w:val="0"/>
                    <w:jc w:val="center"/>
                    <w:rPr>
                      <w:color w:val="auto"/>
                      <w:sz w:val="24"/>
                    </w:rPr>
                  </w:pPr>
                  <w:r>
                    <w:rPr>
                      <w:rFonts w:hint="eastAsia"/>
                      <w:color w:val="auto"/>
                      <w:sz w:val="24"/>
                    </w:rPr>
                    <w:t>1000kg</w:t>
                  </w:r>
                </w:p>
              </w:tc>
              <w:tc>
                <w:tcPr>
                  <w:tcW w:w="979" w:type="dxa"/>
                </w:tcPr>
                <w:p>
                  <w:pPr>
                    <w:adjustRightInd w:val="0"/>
                    <w:snapToGrid w:val="0"/>
                    <w:jc w:val="center"/>
                    <w:rPr>
                      <w:color w:val="auto"/>
                      <w:sz w:val="24"/>
                    </w:rPr>
                  </w:pPr>
                  <w:r>
                    <w:rPr>
                      <w:color w:val="auto"/>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动蝶阀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Φ300</w:t>
                  </w:r>
                  <w:r>
                    <w:rPr>
                      <w:rFonts w:ascii="宋体" w:hAnsi="宋体"/>
                      <w:color w:val="auto"/>
                      <w:sz w:val="24"/>
                    </w:rPr>
                    <w:t>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振动</w:t>
                  </w:r>
                  <w:r>
                    <w:rPr>
                      <w:color w:val="auto"/>
                      <w:sz w:val="24"/>
                    </w:rPr>
                    <w:t>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5</w:t>
                  </w:r>
                </w:p>
              </w:tc>
              <w:tc>
                <w:tcPr>
                  <w:tcW w:w="1504" w:type="dxa"/>
                  <w:vMerge w:val="restart"/>
                  <w:vAlign w:val="center"/>
                </w:tcPr>
                <w:p>
                  <w:pPr>
                    <w:adjustRightInd w:val="0"/>
                    <w:snapToGrid w:val="0"/>
                    <w:jc w:val="center"/>
                    <w:rPr>
                      <w:color w:val="auto"/>
                      <w:sz w:val="24"/>
                    </w:rPr>
                  </w:pPr>
                  <w:r>
                    <w:rPr>
                      <w:rFonts w:hint="eastAsia"/>
                      <w:color w:val="auto"/>
                      <w:sz w:val="24"/>
                    </w:rPr>
                    <w:t>煤</w:t>
                  </w:r>
                  <w:r>
                    <w:rPr>
                      <w:color w:val="auto"/>
                      <w:sz w:val="24"/>
                    </w:rPr>
                    <w:t>灰计量</w:t>
                  </w:r>
                </w:p>
              </w:tc>
              <w:tc>
                <w:tcPr>
                  <w:tcW w:w="2551" w:type="dxa"/>
                </w:tcPr>
                <w:p>
                  <w:pPr>
                    <w:adjustRightInd w:val="0"/>
                    <w:snapToGrid w:val="0"/>
                    <w:jc w:val="center"/>
                    <w:rPr>
                      <w:color w:val="auto"/>
                      <w:sz w:val="24"/>
                    </w:rPr>
                  </w:pPr>
                  <w:r>
                    <w:rPr>
                      <w:rFonts w:hint="eastAsia"/>
                      <w:color w:val="auto"/>
                      <w:sz w:val="24"/>
                    </w:rPr>
                    <w:t>计量</w:t>
                  </w:r>
                  <w:r>
                    <w:rPr>
                      <w:color w:val="auto"/>
                      <w:sz w:val="24"/>
                    </w:rPr>
                    <w:t>斗</w:t>
                  </w:r>
                </w:p>
              </w:tc>
              <w:tc>
                <w:tcPr>
                  <w:tcW w:w="2410" w:type="dxa"/>
                </w:tcPr>
                <w:p>
                  <w:pPr>
                    <w:adjustRightInd w:val="0"/>
                    <w:snapToGrid w:val="0"/>
                    <w:jc w:val="center"/>
                    <w:rPr>
                      <w:color w:val="auto"/>
                      <w:sz w:val="24"/>
                    </w:rPr>
                  </w:pPr>
                  <w:r>
                    <w:rPr>
                      <w:rFonts w:hint="eastAsia"/>
                      <w:color w:val="auto"/>
                      <w:sz w:val="24"/>
                    </w:rPr>
                    <w:t>1.5</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稳重</w:t>
                  </w:r>
                  <w:r>
                    <w:rPr>
                      <w:color w:val="auto"/>
                      <w:sz w:val="24"/>
                    </w:rPr>
                    <w:t>传感器</w:t>
                  </w:r>
                </w:p>
              </w:tc>
              <w:tc>
                <w:tcPr>
                  <w:tcW w:w="2410" w:type="dxa"/>
                </w:tcPr>
                <w:p>
                  <w:pPr>
                    <w:adjustRightInd w:val="0"/>
                    <w:snapToGrid w:val="0"/>
                    <w:jc w:val="center"/>
                    <w:rPr>
                      <w:color w:val="auto"/>
                      <w:sz w:val="24"/>
                    </w:rPr>
                  </w:pPr>
                  <w:r>
                    <w:rPr>
                      <w:rFonts w:hint="eastAsia"/>
                      <w:color w:val="auto"/>
                      <w:sz w:val="24"/>
                    </w:rPr>
                    <w:t>1000kg</w:t>
                  </w:r>
                </w:p>
              </w:tc>
              <w:tc>
                <w:tcPr>
                  <w:tcW w:w="979" w:type="dxa"/>
                </w:tcPr>
                <w:p>
                  <w:pPr>
                    <w:adjustRightInd w:val="0"/>
                    <w:snapToGrid w:val="0"/>
                    <w:jc w:val="center"/>
                    <w:rPr>
                      <w:color w:val="auto"/>
                      <w:sz w:val="24"/>
                    </w:rPr>
                  </w:pPr>
                  <w:r>
                    <w:rPr>
                      <w:color w:val="auto"/>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动蝶阀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Φ300</w:t>
                  </w:r>
                  <w:r>
                    <w:rPr>
                      <w:rFonts w:ascii="宋体" w:hAnsi="宋体"/>
                      <w:color w:val="auto"/>
                      <w:sz w:val="24"/>
                    </w:rPr>
                    <w:t>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振动</w:t>
                  </w:r>
                  <w:r>
                    <w:rPr>
                      <w:color w:val="auto"/>
                      <w:sz w:val="24"/>
                    </w:rPr>
                    <w:t>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6</w:t>
                  </w:r>
                </w:p>
              </w:tc>
              <w:tc>
                <w:tcPr>
                  <w:tcW w:w="1504" w:type="dxa"/>
                  <w:vMerge w:val="restart"/>
                  <w:vAlign w:val="center"/>
                </w:tcPr>
                <w:p>
                  <w:pPr>
                    <w:adjustRightInd w:val="0"/>
                    <w:snapToGrid w:val="0"/>
                    <w:jc w:val="center"/>
                    <w:rPr>
                      <w:color w:val="auto"/>
                      <w:sz w:val="24"/>
                    </w:rPr>
                  </w:pPr>
                  <w:r>
                    <w:rPr>
                      <w:rFonts w:hint="eastAsia"/>
                      <w:color w:val="auto"/>
                      <w:sz w:val="24"/>
                    </w:rPr>
                    <w:t>水</w:t>
                  </w:r>
                  <w:r>
                    <w:rPr>
                      <w:color w:val="auto"/>
                      <w:sz w:val="24"/>
                    </w:rPr>
                    <w:t>计量及供水系统</w:t>
                  </w:r>
                </w:p>
              </w:tc>
              <w:tc>
                <w:tcPr>
                  <w:tcW w:w="2551" w:type="dxa"/>
                </w:tcPr>
                <w:p>
                  <w:pPr>
                    <w:adjustRightInd w:val="0"/>
                    <w:snapToGrid w:val="0"/>
                    <w:jc w:val="center"/>
                    <w:rPr>
                      <w:color w:val="auto"/>
                      <w:sz w:val="24"/>
                    </w:rPr>
                  </w:pPr>
                  <w:r>
                    <w:rPr>
                      <w:rFonts w:hint="eastAsia"/>
                      <w:color w:val="auto"/>
                      <w:sz w:val="24"/>
                    </w:rPr>
                    <w:t>计量</w:t>
                  </w:r>
                  <w:r>
                    <w:rPr>
                      <w:color w:val="auto"/>
                      <w:sz w:val="24"/>
                    </w:rPr>
                    <w:t>斗</w:t>
                  </w:r>
                </w:p>
              </w:tc>
              <w:tc>
                <w:tcPr>
                  <w:tcW w:w="2410" w:type="dxa"/>
                </w:tcPr>
                <w:p>
                  <w:pPr>
                    <w:adjustRightInd w:val="0"/>
                    <w:snapToGrid w:val="0"/>
                    <w:jc w:val="center"/>
                    <w:rPr>
                      <w:color w:val="auto"/>
                      <w:sz w:val="24"/>
                    </w:rPr>
                  </w:pPr>
                  <w:r>
                    <w:rPr>
                      <w:rFonts w:hint="eastAsia"/>
                      <w:color w:val="auto"/>
                      <w:sz w:val="24"/>
                    </w:rPr>
                    <w:t>0.8</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供</w:t>
                  </w:r>
                  <w:r>
                    <w:rPr>
                      <w:color w:val="auto"/>
                      <w:sz w:val="24"/>
                    </w:rPr>
                    <w:t>水管路</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稳重</w:t>
                  </w:r>
                  <w:r>
                    <w:rPr>
                      <w:color w:val="auto"/>
                      <w:sz w:val="24"/>
                    </w:rPr>
                    <w:t>传感器</w:t>
                  </w:r>
                </w:p>
              </w:tc>
              <w:tc>
                <w:tcPr>
                  <w:tcW w:w="2410" w:type="dxa"/>
                </w:tcPr>
                <w:p>
                  <w:pPr>
                    <w:adjustRightInd w:val="0"/>
                    <w:snapToGrid w:val="0"/>
                    <w:jc w:val="center"/>
                    <w:rPr>
                      <w:color w:val="auto"/>
                      <w:sz w:val="24"/>
                    </w:rPr>
                  </w:pPr>
                  <w:r>
                    <w:rPr>
                      <w:rFonts w:hint="eastAsia"/>
                      <w:color w:val="auto"/>
                      <w:sz w:val="24"/>
                    </w:rPr>
                    <w:t>1000kg</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动蝶阀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w:t>
                  </w:r>
                  <w:r>
                    <w:rPr>
                      <w:rFonts w:ascii="宋体" w:hAnsi="宋体"/>
                      <w:color w:val="auto"/>
                      <w:sz w:val="24"/>
                    </w:rPr>
                    <w:t>2</w:t>
                  </w:r>
                  <w:r>
                    <w:rPr>
                      <w:rFonts w:hint="eastAsia" w:ascii="宋体" w:hAnsi="宋体"/>
                      <w:color w:val="auto"/>
                      <w:sz w:val="24"/>
                    </w:rPr>
                    <w:t>00</w:t>
                  </w:r>
                  <w:r>
                    <w:rPr>
                      <w:rFonts w:ascii="宋体" w:hAnsi="宋体"/>
                      <w:color w:val="auto"/>
                      <w:sz w:val="24"/>
                    </w:rPr>
                    <w:t>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水</w:t>
                  </w:r>
                  <w:r>
                    <w:rPr>
                      <w:color w:val="auto"/>
                      <w:sz w:val="24"/>
                    </w:rPr>
                    <w:t>泵</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管路</w:t>
                  </w:r>
                  <w:r>
                    <w:rPr>
                      <w:color w:val="auto"/>
                      <w:sz w:val="24"/>
                    </w:rPr>
                    <w:t>阀门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7</w:t>
                  </w:r>
                </w:p>
              </w:tc>
              <w:tc>
                <w:tcPr>
                  <w:tcW w:w="1504" w:type="dxa"/>
                  <w:vMerge w:val="restart"/>
                  <w:vAlign w:val="center"/>
                </w:tcPr>
                <w:p>
                  <w:pPr>
                    <w:adjustRightInd w:val="0"/>
                    <w:snapToGrid w:val="0"/>
                    <w:jc w:val="center"/>
                    <w:rPr>
                      <w:color w:val="auto"/>
                      <w:sz w:val="24"/>
                    </w:rPr>
                  </w:pPr>
                  <w:r>
                    <w:rPr>
                      <w:rFonts w:hint="eastAsia"/>
                      <w:color w:val="auto"/>
                      <w:sz w:val="24"/>
                    </w:rPr>
                    <w:t>外</w:t>
                  </w:r>
                  <w:r>
                    <w:rPr>
                      <w:color w:val="auto"/>
                      <w:sz w:val="24"/>
                    </w:rPr>
                    <w:t>加剂计量系统</w:t>
                  </w:r>
                </w:p>
              </w:tc>
              <w:tc>
                <w:tcPr>
                  <w:tcW w:w="2551" w:type="dxa"/>
                </w:tcPr>
                <w:p>
                  <w:pPr>
                    <w:adjustRightInd w:val="0"/>
                    <w:snapToGrid w:val="0"/>
                    <w:jc w:val="center"/>
                    <w:rPr>
                      <w:color w:val="auto"/>
                      <w:sz w:val="24"/>
                    </w:rPr>
                  </w:pPr>
                  <w:r>
                    <w:rPr>
                      <w:rFonts w:hint="eastAsia"/>
                      <w:color w:val="auto"/>
                      <w:sz w:val="24"/>
                    </w:rPr>
                    <w:t>计量</w:t>
                  </w:r>
                  <w:r>
                    <w:rPr>
                      <w:color w:val="auto"/>
                      <w:sz w:val="24"/>
                    </w:rPr>
                    <w:t>斗</w:t>
                  </w:r>
                </w:p>
              </w:tc>
              <w:tc>
                <w:tcPr>
                  <w:tcW w:w="2410" w:type="dxa"/>
                </w:tcPr>
                <w:p>
                  <w:pPr>
                    <w:adjustRightInd w:val="0"/>
                    <w:snapToGrid w:val="0"/>
                    <w:jc w:val="center"/>
                    <w:rPr>
                      <w:color w:val="auto"/>
                      <w:sz w:val="24"/>
                    </w:rPr>
                  </w:pPr>
                  <w:r>
                    <w:rPr>
                      <w:rFonts w:hint="eastAsia"/>
                      <w:color w:val="auto"/>
                      <w:sz w:val="24"/>
                    </w:rPr>
                    <w:t>0.1</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供</w:t>
                  </w:r>
                  <w:r>
                    <w:rPr>
                      <w:color w:val="auto"/>
                      <w:sz w:val="24"/>
                    </w:rPr>
                    <w:t>液管路</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4</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储</w:t>
                  </w:r>
                  <w:r>
                    <w:rPr>
                      <w:color w:val="auto"/>
                      <w:sz w:val="24"/>
                    </w:rPr>
                    <w:t>液箱</w:t>
                  </w:r>
                </w:p>
              </w:tc>
              <w:tc>
                <w:tcPr>
                  <w:tcW w:w="2410" w:type="dxa"/>
                </w:tcPr>
                <w:p>
                  <w:pPr>
                    <w:adjustRightInd w:val="0"/>
                    <w:snapToGrid w:val="0"/>
                    <w:jc w:val="center"/>
                    <w:rPr>
                      <w:color w:val="auto"/>
                      <w:sz w:val="24"/>
                    </w:rPr>
                  </w:pPr>
                  <w:r>
                    <w:rPr>
                      <w:rFonts w:hint="eastAsia"/>
                      <w:color w:val="auto"/>
                      <w:sz w:val="24"/>
                    </w:rPr>
                    <w:t>10</w:t>
                  </w:r>
                  <w:r>
                    <w:rPr>
                      <w:color w:val="auto"/>
                      <w:sz w:val="24"/>
                    </w:rPr>
                    <w:t xml:space="preserve"> m</w:t>
                  </w:r>
                  <w:r>
                    <w:rPr>
                      <w:color w:val="auto"/>
                      <w:sz w:val="24"/>
                      <w:vertAlign w:val="superscript"/>
                    </w:rPr>
                    <w:t>3</w:t>
                  </w:r>
                </w:p>
              </w:tc>
              <w:tc>
                <w:tcPr>
                  <w:tcW w:w="979" w:type="dxa"/>
                </w:tcPr>
                <w:p>
                  <w:pPr>
                    <w:adjustRightInd w:val="0"/>
                    <w:snapToGrid w:val="0"/>
                    <w:jc w:val="center"/>
                    <w:rPr>
                      <w:color w:val="auto"/>
                      <w:sz w:val="24"/>
                    </w:rPr>
                  </w:pPr>
                  <w:r>
                    <w:rPr>
                      <w:color w:val="auto"/>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稳重</w:t>
                  </w:r>
                  <w:r>
                    <w:rPr>
                      <w:color w:val="auto"/>
                      <w:sz w:val="24"/>
                    </w:rPr>
                    <w:t>传感器</w:t>
                  </w:r>
                </w:p>
              </w:tc>
              <w:tc>
                <w:tcPr>
                  <w:tcW w:w="2410" w:type="dxa"/>
                </w:tcPr>
                <w:p>
                  <w:pPr>
                    <w:adjustRightInd w:val="0"/>
                    <w:snapToGrid w:val="0"/>
                    <w:jc w:val="center"/>
                    <w:rPr>
                      <w:color w:val="auto"/>
                      <w:sz w:val="24"/>
                    </w:rPr>
                  </w:pPr>
                  <w:r>
                    <w:rPr>
                      <w:rFonts w:hint="eastAsia"/>
                      <w:color w:val="auto"/>
                      <w:sz w:val="24"/>
                    </w:rPr>
                    <w:t>200</w:t>
                  </w:r>
                  <w:r>
                    <w:rPr>
                      <w:color w:val="auto"/>
                      <w:sz w:val="24"/>
                    </w:rPr>
                    <w:t>kg</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动蝶阀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w:t>
                  </w:r>
                  <w:r>
                    <w:rPr>
                      <w:rFonts w:ascii="宋体" w:hAnsi="宋体"/>
                      <w:color w:val="auto"/>
                      <w:sz w:val="24"/>
                    </w:rPr>
                    <w:t>80mm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外</w:t>
                  </w:r>
                  <w:r>
                    <w:rPr>
                      <w:color w:val="auto"/>
                      <w:sz w:val="24"/>
                    </w:rPr>
                    <w:t>加剂防腐泵</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管路</w:t>
                  </w:r>
                  <w:r>
                    <w:rPr>
                      <w:color w:val="auto"/>
                      <w:sz w:val="24"/>
                    </w:rPr>
                    <w:t>阀门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4</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8</w:t>
                  </w:r>
                </w:p>
              </w:tc>
              <w:tc>
                <w:tcPr>
                  <w:tcW w:w="1504" w:type="dxa"/>
                  <w:vMerge w:val="restart"/>
                  <w:vAlign w:val="center"/>
                </w:tcPr>
                <w:p>
                  <w:pPr>
                    <w:adjustRightInd w:val="0"/>
                    <w:snapToGrid w:val="0"/>
                    <w:jc w:val="center"/>
                    <w:rPr>
                      <w:color w:val="auto"/>
                      <w:sz w:val="24"/>
                    </w:rPr>
                  </w:pPr>
                  <w:r>
                    <w:rPr>
                      <w:rFonts w:hint="eastAsia"/>
                      <w:color w:val="auto"/>
                      <w:sz w:val="24"/>
                    </w:rPr>
                    <w:t>气</w:t>
                  </w:r>
                  <w:r>
                    <w:rPr>
                      <w:color w:val="auto"/>
                      <w:sz w:val="24"/>
                    </w:rPr>
                    <w:t>路系统</w:t>
                  </w:r>
                </w:p>
              </w:tc>
              <w:tc>
                <w:tcPr>
                  <w:tcW w:w="2551" w:type="dxa"/>
                </w:tcPr>
                <w:p>
                  <w:pPr>
                    <w:adjustRightInd w:val="0"/>
                    <w:snapToGrid w:val="0"/>
                    <w:jc w:val="center"/>
                    <w:rPr>
                      <w:color w:val="auto"/>
                      <w:sz w:val="24"/>
                    </w:rPr>
                  </w:pPr>
                  <w:r>
                    <w:rPr>
                      <w:rFonts w:hint="eastAsia"/>
                      <w:color w:val="auto"/>
                      <w:sz w:val="24"/>
                    </w:rPr>
                    <w:t>空</w:t>
                  </w:r>
                  <w:r>
                    <w:rPr>
                      <w:color w:val="auto"/>
                      <w:sz w:val="24"/>
                    </w:rPr>
                    <w:t>压机</w:t>
                  </w:r>
                </w:p>
              </w:tc>
              <w:tc>
                <w:tcPr>
                  <w:tcW w:w="2410" w:type="dxa"/>
                </w:tcPr>
                <w:p>
                  <w:pPr>
                    <w:adjustRightInd w:val="0"/>
                    <w:snapToGrid w:val="0"/>
                    <w:jc w:val="center"/>
                    <w:rPr>
                      <w:color w:val="auto"/>
                      <w:sz w:val="24"/>
                    </w:rPr>
                  </w:pPr>
                  <w:r>
                    <w:rPr>
                      <w:rFonts w:hint="eastAsia"/>
                      <w:color w:val="auto"/>
                      <w:sz w:val="24"/>
                    </w:rPr>
                    <w:t>排气</w:t>
                  </w:r>
                  <w:r>
                    <w:rPr>
                      <w:color w:val="auto"/>
                      <w:sz w:val="24"/>
                    </w:rPr>
                    <w:t>量：</w:t>
                  </w:r>
                  <w:r>
                    <w:rPr>
                      <w:rFonts w:hint="eastAsia"/>
                      <w:color w:val="auto"/>
                      <w:sz w:val="24"/>
                    </w:rPr>
                    <w:t>1.7</w:t>
                  </w:r>
                  <w:r>
                    <w:rPr>
                      <w:color w:val="auto"/>
                      <w:sz w:val="24"/>
                    </w:rPr>
                    <w:t xml:space="preserve"> m</w:t>
                  </w:r>
                  <w:r>
                    <w:rPr>
                      <w:color w:val="auto"/>
                      <w:sz w:val="24"/>
                      <w:vertAlign w:val="superscript"/>
                    </w:rPr>
                    <w:t>3</w:t>
                  </w:r>
                  <w:r>
                    <w:rPr>
                      <w:rFonts w:hint="eastAsia"/>
                      <w:color w:val="auto"/>
                      <w:sz w:val="24"/>
                    </w:rPr>
                    <w:t>/mim</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动三联件</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储</w:t>
                  </w:r>
                  <w:r>
                    <w:rPr>
                      <w:color w:val="auto"/>
                      <w:sz w:val="24"/>
                    </w:rPr>
                    <w:t>气罐</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连接</w:t>
                  </w:r>
                  <w:r>
                    <w:rPr>
                      <w:color w:val="auto"/>
                      <w:sz w:val="24"/>
                    </w:rPr>
                    <w:t>管路</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管路</w:t>
                  </w:r>
                  <w:r>
                    <w:rPr>
                      <w:color w:val="auto"/>
                      <w:sz w:val="24"/>
                    </w:rPr>
                    <w:t>阀门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9</w:t>
                  </w:r>
                </w:p>
              </w:tc>
              <w:tc>
                <w:tcPr>
                  <w:tcW w:w="1504" w:type="dxa"/>
                  <w:vMerge w:val="restart"/>
                  <w:vAlign w:val="center"/>
                </w:tcPr>
                <w:p>
                  <w:pPr>
                    <w:adjustRightInd w:val="0"/>
                    <w:snapToGrid w:val="0"/>
                    <w:jc w:val="center"/>
                    <w:rPr>
                      <w:color w:val="auto"/>
                      <w:sz w:val="24"/>
                    </w:rPr>
                  </w:pPr>
                  <w:r>
                    <w:rPr>
                      <w:rFonts w:hint="eastAsia"/>
                      <w:color w:val="auto"/>
                      <w:sz w:val="24"/>
                    </w:rPr>
                    <w:t>搅拌主</w:t>
                  </w:r>
                  <w:r>
                    <w:rPr>
                      <w:color w:val="auto"/>
                      <w:sz w:val="24"/>
                    </w:rPr>
                    <w:t>楼</w:t>
                  </w:r>
                </w:p>
              </w:tc>
              <w:tc>
                <w:tcPr>
                  <w:tcW w:w="2551" w:type="dxa"/>
                </w:tcPr>
                <w:p>
                  <w:pPr>
                    <w:adjustRightInd w:val="0"/>
                    <w:snapToGrid w:val="0"/>
                    <w:jc w:val="center"/>
                    <w:rPr>
                      <w:color w:val="auto"/>
                      <w:sz w:val="24"/>
                    </w:rPr>
                  </w:pPr>
                  <w:r>
                    <w:rPr>
                      <w:rFonts w:hint="eastAsia"/>
                      <w:color w:val="auto"/>
                      <w:sz w:val="24"/>
                    </w:rPr>
                    <w:t>主</w:t>
                  </w:r>
                  <w:r>
                    <w:rPr>
                      <w:color w:val="auto"/>
                      <w:sz w:val="24"/>
                    </w:rPr>
                    <w:t>体结构</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走</w:t>
                  </w:r>
                  <w:r>
                    <w:rPr>
                      <w:color w:val="auto"/>
                      <w:sz w:val="24"/>
                    </w:rPr>
                    <w:t>台围栏</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待</w:t>
                  </w:r>
                  <w:r>
                    <w:rPr>
                      <w:color w:val="auto"/>
                      <w:sz w:val="24"/>
                    </w:rPr>
                    <w:t>料斗</w:t>
                  </w:r>
                </w:p>
              </w:tc>
              <w:tc>
                <w:tcPr>
                  <w:tcW w:w="2410" w:type="dxa"/>
                </w:tcPr>
                <w:p>
                  <w:pPr>
                    <w:adjustRightInd w:val="0"/>
                    <w:snapToGrid w:val="0"/>
                    <w:jc w:val="center"/>
                    <w:rPr>
                      <w:color w:val="auto"/>
                      <w:sz w:val="24"/>
                    </w:rPr>
                  </w:pPr>
                  <w:r>
                    <w:rPr>
                      <w:rFonts w:hint="eastAsia"/>
                      <w:color w:val="auto"/>
                      <w:sz w:val="24"/>
                    </w:rPr>
                    <w:t>双</w:t>
                  </w:r>
                  <w:r>
                    <w:rPr>
                      <w:color w:val="auto"/>
                      <w:sz w:val="24"/>
                    </w:rPr>
                    <w:t>气缸</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卸</w:t>
                  </w:r>
                  <w:r>
                    <w:rPr>
                      <w:color w:val="auto"/>
                      <w:sz w:val="24"/>
                    </w:rPr>
                    <w:t>料斗</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外</w:t>
                  </w:r>
                  <w:r>
                    <w:rPr>
                      <w:color w:val="auto"/>
                      <w:sz w:val="24"/>
                    </w:rPr>
                    <w:t>包装</w:t>
                  </w:r>
                </w:p>
              </w:tc>
              <w:tc>
                <w:tcPr>
                  <w:tcW w:w="2410" w:type="dxa"/>
                </w:tcPr>
                <w:p>
                  <w:pPr>
                    <w:adjustRightInd w:val="0"/>
                    <w:snapToGrid w:val="0"/>
                    <w:jc w:val="center"/>
                    <w:rPr>
                      <w:color w:val="auto"/>
                      <w:sz w:val="24"/>
                    </w:rPr>
                  </w:pPr>
                  <w:r>
                    <w:rPr>
                      <w:rFonts w:hint="eastAsia"/>
                      <w:color w:val="auto"/>
                      <w:sz w:val="24"/>
                    </w:rPr>
                    <w:t>50mm厚</w:t>
                  </w:r>
                  <w:r>
                    <w:rPr>
                      <w:color w:val="auto"/>
                      <w:sz w:val="24"/>
                    </w:rPr>
                    <w:t>彩钢夹芯板</w:t>
                  </w: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除尘</w:t>
                  </w:r>
                  <w:r>
                    <w:rPr>
                      <w:color w:val="auto"/>
                      <w:sz w:val="24"/>
                    </w:rPr>
                    <w:t>装置</w:t>
                  </w:r>
                </w:p>
              </w:tc>
              <w:tc>
                <w:tcPr>
                  <w:tcW w:w="2410" w:type="dxa"/>
                </w:tcPr>
                <w:p>
                  <w:pPr>
                    <w:adjustRightInd w:val="0"/>
                    <w:snapToGrid w:val="0"/>
                    <w:jc w:val="center"/>
                    <w:rPr>
                      <w:color w:val="auto"/>
                      <w:sz w:val="24"/>
                    </w:rPr>
                  </w:pPr>
                  <w:r>
                    <w:rPr>
                      <w:rFonts w:hint="eastAsia"/>
                      <w:color w:val="auto"/>
                      <w:sz w:val="24"/>
                    </w:rPr>
                    <w:t>40</w:t>
                  </w:r>
                  <w:r>
                    <w:rPr>
                      <w:color w:val="auto"/>
                      <w:sz w:val="24"/>
                    </w:rPr>
                    <w:t xml:space="preserve"> m</w:t>
                  </w:r>
                  <w:r>
                    <w:rPr>
                      <w:color w:val="auto"/>
                      <w:sz w:val="24"/>
                      <w:vertAlign w:val="superscript"/>
                    </w:rPr>
                    <w:t>2</w:t>
                  </w:r>
                  <w:r>
                    <w:rPr>
                      <w:rFonts w:hint="eastAsia"/>
                      <w:color w:val="auto"/>
                      <w:sz w:val="24"/>
                    </w:rPr>
                    <w:t>脉</w:t>
                  </w:r>
                  <w:r>
                    <w:rPr>
                      <w:color w:val="auto"/>
                      <w:sz w:val="24"/>
                    </w:rPr>
                    <w:t>冲布袋除尘</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10</w:t>
                  </w:r>
                </w:p>
              </w:tc>
              <w:tc>
                <w:tcPr>
                  <w:tcW w:w="1504" w:type="dxa"/>
                  <w:vMerge w:val="restart"/>
                  <w:vAlign w:val="center"/>
                </w:tcPr>
                <w:p>
                  <w:pPr>
                    <w:adjustRightInd w:val="0"/>
                    <w:snapToGrid w:val="0"/>
                    <w:jc w:val="center"/>
                    <w:rPr>
                      <w:color w:val="auto"/>
                      <w:sz w:val="24"/>
                    </w:rPr>
                  </w:pPr>
                  <w:r>
                    <w:rPr>
                      <w:rFonts w:hint="eastAsia"/>
                      <w:color w:val="auto"/>
                      <w:sz w:val="24"/>
                    </w:rPr>
                    <w:t>操作</w:t>
                  </w:r>
                  <w:r>
                    <w:rPr>
                      <w:color w:val="auto"/>
                      <w:sz w:val="24"/>
                    </w:rPr>
                    <w:t>室</w:t>
                  </w:r>
                </w:p>
              </w:tc>
              <w:tc>
                <w:tcPr>
                  <w:tcW w:w="2551" w:type="dxa"/>
                </w:tcPr>
                <w:p>
                  <w:pPr>
                    <w:adjustRightInd w:val="0"/>
                    <w:snapToGrid w:val="0"/>
                    <w:jc w:val="center"/>
                    <w:rPr>
                      <w:color w:val="auto"/>
                      <w:sz w:val="24"/>
                    </w:rPr>
                  </w:pPr>
                  <w:r>
                    <w:rPr>
                      <w:rFonts w:hint="eastAsia"/>
                      <w:color w:val="auto"/>
                      <w:sz w:val="24"/>
                    </w:rPr>
                    <w:t>框</w:t>
                  </w:r>
                  <w:r>
                    <w:rPr>
                      <w:color w:val="auto"/>
                      <w:sz w:val="24"/>
                    </w:rPr>
                    <w:t>架</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装修</w:t>
                  </w:r>
                </w:p>
              </w:tc>
              <w:tc>
                <w:tcPr>
                  <w:tcW w:w="2410" w:type="dxa"/>
                </w:tcPr>
                <w:p>
                  <w:pPr>
                    <w:adjustRightInd w:val="0"/>
                    <w:snapToGrid w:val="0"/>
                    <w:jc w:val="center"/>
                    <w:rPr>
                      <w:color w:val="auto"/>
                      <w:sz w:val="24"/>
                    </w:rPr>
                  </w:pPr>
                  <w:r>
                    <w:rPr>
                      <w:color w:val="auto"/>
                      <w:sz w:val="24"/>
                    </w:rPr>
                    <w:t>夹芯板</w:t>
                  </w: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靠</w:t>
                  </w:r>
                  <w:r>
                    <w:rPr>
                      <w:color w:val="auto"/>
                      <w:sz w:val="24"/>
                    </w:rPr>
                    <w:t>椅</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空调</w:t>
                  </w:r>
                </w:p>
              </w:tc>
              <w:tc>
                <w:tcPr>
                  <w:tcW w:w="2410" w:type="dxa"/>
                </w:tcPr>
                <w:p>
                  <w:pPr>
                    <w:adjustRightInd w:val="0"/>
                    <w:snapToGrid w:val="0"/>
                    <w:jc w:val="center"/>
                    <w:rPr>
                      <w:color w:val="auto"/>
                      <w:sz w:val="24"/>
                    </w:rPr>
                  </w:pPr>
                  <w:r>
                    <w:rPr>
                      <w:rFonts w:hint="eastAsia"/>
                      <w:color w:val="auto"/>
                      <w:sz w:val="24"/>
                    </w:rPr>
                    <w:t>1.5</w:t>
                  </w:r>
                  <w:r>
                    <w:rPr>
                      <w:color w:val="auto"/>
                      <w:sz w:val="24"/>
                    </w:rPr>
                    <w:t>p</w:t>
                  </w: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11</w:t>
                  </w:r>
                </w:p>
              </w:tc>
              <w:tc>
                <w:tcPr>
                  <w:tcW w:w="1504" w:type="dxa"/>
                  <w:vMerge w:val="restart"/>
                  <w:vAlign w:val="center"/>
                </w:tcPr>
                <w:p>
                  <w:pPr>
                    <w:adjustRightInd w:val="0"/>
                    <w:snapToGrid w:val="0"/>
                    <w:jc w:val="center"/>
                    <w:rPr>
                      <w:color w:val="auto"/>
                      <w:sz w:val="24"/>
                    </w:rPr>
                  </w:pPr>
                  <w:r>
                    <w:rPr>
                      <w:rFonts w:hint="eastAsia"/>
                      <w:color w:val="auto"/>
                      <w:sz w:val="24"/>
                    </w:rPr>
                    <w:t>控制</w:t>
                  </w:r>
                  <w:r>
                    <w:rPr>
                      <w:color w:val="auto"/>
                      <w:sz w:val="24"/>
                    </w:rPr>
                    <w:t>系统</w:t>
                  </w:r>
                </w:p>
              </w:tc>
              <w:tc>
                <w:tcPr>
                  <w:tcW w:w="2551" w:type="dxa"/>
                </w:tcPr>
                <w:p>
                  <w:pPr>
                    <w:adjustRightInd w:val="0"/>
                    <w:snapToGrid w:val="0"/>
                    <w:jc w:val="center"/>
                    <w:rPr>
                      <w:color w:val="auto"/>
                      <w:sz w:val="24"/>
                    </w:rPr>
                  </w:pPr>
                  <w:r>
                    <w:rPr>
                      <w:rFonts w:hint="eastAsia"/>
                      <w:color w:val="auto"/>
                      <w:sz w:val="24"/>
                    </w:rPr>
                    <w:t>计算</w:t>
                  </w:r>
                  <w:r>
                    <w:rPr>
                      <w:color w:val="auto"/>
                      <w:sz w:val="24"/>
                    </w:rPr>
                    <w:t>机</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显示</w:t>
                  </w:r>
                  <w:r>
                    <w:rPr>
                      <w:color w:val="auto"/>
                      <w:sz w:val="24"/>
                    </w:rPr>
                    <w:t>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不</w:t>
                  </w:r>
                  <w:r>
                    <w:rPr>
                      <w:color w:val="auto"/>
                      <w:sz w:val="24"/>
                    </w:rPr>
                    <w:t>间断电源</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打印</w:t>
                  </w:r>
                  <w:r>
                    <w:rPr>
                      <w:color w:val="auto"/>
                      <w:sz w:val="24"/>
                    </w:rPr>
                    <w:t>机</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监视</w:t>
                  </w:r>
                  <w:r>
                    <w:rPr>
                      <w:color w:val="auto"/>
                      <w:sz w:val="24"/>
                    </w:rPr>
                    <w:t>器</w:t>
                  </w:r>
                </w:p>
              </w:tc>
              <w:tc>
                <w:tcPr>
                  <w:tcW w:w="2410" w:type="dxa"/>
                </w:tcPr>
                <w:p>
                  <w:pPr>
                    <w:adjustRightInd w:val="0"/>
                    <w:snapToGrid w:val="0"/>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低</w:t>
                  </w:r>
                  <w:r>
                    <w:rPr>
                      <w:color w:val="auto"/>
                      <w:sz w:val="24"/>
                    </w:rPr>
                    <w:t>压电器</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操作</w:t>
                  </w:r>
                  <w:r>
                    <w:rPr>
                      <w:color w:val="auto"/>
                      <w:sz w:val="24"/>
                    </w:rPr>
                    <w:t>按钮</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电</w:t>
                  </w:r>
                  <w:r>
                    <w:rPr>
                      <w:color w:val="auto"/>
                      <w:sz w:val="24"/>
                    </w:rPr>
                    <w:t>控柜</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监控</w:t>
                  </w:r>
                  <w:r>
                    <w:rPr>
                      <w:color w:val="auto"/>
                      <w:sz w:val="24"/>
                    </w:rPr>
                    <w:t>软件</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管理</w:t>
                  </w:r>
                  <w:r>
                    <w:rPr>
                      <w:color w:val="auto"/>
                      <w:sz w:val="24"/>
                    </w:rPr>
                    <w:t>软件</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料</w:t>
                  </w:r>
                  <w:r>
                    <w:rPr>
                      <w:color w:val="auto"/>
                      <w:sz w:val="24"/>
                    </w:rPr>
                    <w:t>位检测与报警控制</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电脑</w:t>
                  </w:r>
                  <w:r>
                    <w:rPr>
                      <w:color w:val="auto"/>
                      <w:sz w:val="24"/>
                    </w:rPr>
                    <w:t>桌</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tcPr>
                <w:p>
                  <w:pPr>
                    <w:adjustRightInd w:val="0"/>
                    <w:snapToGrid w:val="0"/>
                    <w:jc w:val="center"/>
                    <w:rPr>
                      <w:color w:val="auto"/>
                      <w:sz w:val="24"/>
                    </w:rPr>
                  </w:pPr>
                  <w:r>
                    <w:rPr>
                      <w:rFonts w:hint="eastAsia"/>
                      <w:color w:val="auto"/>
                      <w:sz w:val="24"/>
                    </w:rPr>
                    <w:t>12</w:t>
                  </w:r>
                </w:p>
              </w:tc>
              <w:tc>
                <w:tcPr>
                  <w:tcW w:w="1504" w:type="dxa"/>
                </w:tcPr>
                <w:p>
                  <w:pPr>
                    <w:adjustRightInd w:val="0"/>
                    <w:snapToGrid w:val="0"/>
                    <w:jc w:val="center"/>
                    <w:rPr>
                      <w:color w:val="auto"/>
                      <w:sz w:val="24"/>
                    </w:rPr>
                  </w:pPr>
                  <w:r>
                    <w:rPr>
                      <w:rFonts w:hint="eastAsia"/>
                      <w:color w:val="auto"/>
                      <w:sz w:val="24"/>
                    </w:rPr>
                    <w:t>粉</w:t>
                  </w:r>
                  <w:r>
                    <w:rPr>
                      <w:color w:val="auto"/>
                      <w:sz w:val="24"/>
                    </w:rPr>
                    <w:t>罐</w:t>
                  </w:r>
                </w:p>
              </w:tc>
              <w:tc>
                <w:tcPr>
                  <w:tcW w:w="2551" w:type="dxa"/>
                </w:tcPr>
                <w:p>
                  <w:pPr>
                    <w:adjustRightInd w:val="0"/>
                    <w:snapToGrid w:val="0"/>
                    <w:jc w:val="center"/>
                    <w:rPr>
                      <w:color w:val="auto"/>
                      <w:sz w:val="24"/>
                    </w:rPr>
                  </w:pPr>
                  <w:r>
                    <w:rPr>
                      <w:rFonts w:hint="eastAsia"/>
                      <w:color w:val="auto"/>
                      <w:sz w:val="24"/>
                    </w:rPr>
                    <w:t>仓体</w:t>
                  </w:r>
                  <w:r>
                    <w:rPr>
                      <w:color w:val="auto"/>
                      <w:sz w:val="24"/>
                    </w:rPr>
                    <w:t>及支腿</w:t>
                  </w:r>
                </w:p>
              </w:tc>
              <w:tc>
                <w:tcPr>
                  <w:tcW w:w="2410" w:type="dxa"/>
                </w:tcPr>
                <w:p>
                  <w:pPr>
                    <w:adjustRightInd w:val="0"/>
                    <w:snapToGrid w:val="0"/>
                    <w:jc w:val="center"/>
                    <w:rPr>
                      <w:color w:val="auto"/>
                      <w:sz w:val="24"/>
                    </w:rPr>
                  </w:pPr>
                  <w:r>
                    <w:rPr>
                      <w:rFonts w:hint="eastAsia"/>
                      <w:color w:val="auto"/>
                      <w:sz w:val="24"/>
                    </w:rPr>
                    <w:t>200</w:t>
                  </w:r>
                  <w:r>
                    <w:rPr>
                      <w:color w:val="auto"/>
                      <w:sz w:val="24"/>
                    </w:rPr>
                    <w:t>t</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restart"/>
                  <w:vAlign w:val="center"/>
                </w:tcPr>
                <w:p>
                  <w:pPr>
                    <w:adjustRightInd w:val="0"/>
                    <w:snapToGrid w:val="0"/>
                    <w:jc w:val="center"/>
                    <w:rPr>
                      <w:color w:val="auto"/>
                      <w:sz w:val="24"/>
                    </w:rPr>
                  </w:pPr>
                  <w:r>
                    <w:rPr>
                      <w:rFonts w:hint="eastAsia"/>
                      <w:color w:val="auto"/>
                      <w:sz w:val="24"/>
                    </w:rPr>
                    <w:t>13</w:t>
                  </w:r>
                </w:p>
              </w:tc>
              <w:tc>
                <w:tcPr>
                  <w:tcW w:w="1504" w:type="dxa"/>
                  <w:vMerge w:val="restart"/>
                  <w:vAlign w:val="center"/>
                </w:tcPr>
                <w:p>
                  <w:pPr>
                    <w:adjustRightInd w:val="0"/>
                    <w:snapToGrid w:val="0"/>
                    <w:jc w:val="center"/>
                    <w:rPr>
                      <w:color w:val="auto"/>
                      <w:sz w:val="24"/>
                    </w:rPr>
                  </w:pPr>
                  <w:r>
                    <w:rPr>
                      <w:rFonts w:hint="eastAsia"/>
                      <w:color w:val="auto"/>
                      <w:sz w:val="24"/>
                    </w:rPr>
                    <w:t>粉</w:t>
                  </w:r>
                  <w:r>
                    <w:rPr>
                      <w:color w:val="auto"/>
                      <w:sz w:val="24"/>
                    </w:rPr>
                    <w:t>罐配套件</w:t>
                  </w:r>
                </w:p>
              </w:tc>
              <w:tc>
                <w:tcPr>
                  <w:tcW w:w="2551" w:type="dxa"/>
                </w:tcPr>
                <w:p>
                  <w:pPr>
                    <w:adjustRightInd w:val="0"/>
                    <w:snapToGrid w:val="0"/>
                    <w:jc w:val="center"/>
                    <w:rPr>
                      <w:color w:val="auto"/>
                      <w:sz w:val="24"/>
                    </w:rPr>
                  </w:pPr>
                  <w:r>
                    <w:rPr>
                      <w:rFonts w:hint="eastAsia"/>
                      <w:color w:val="auto"/>
                      <w:sz w:val="24"/>
                    </w:rPr>
                    <w:t>脉</w:t>
                  </w:r>
                  <w:r>
                    <w:rPr>
                      <w:color w:val="auto"/>
                      <w:sz w:val="24"/>
                    </w:rPr>
                    <w:t>冲布袋收尘机</w:t>
                  </w:r>
                </w:p>
              </w:tc>
              <w:tc>
                <w:tcPr>
                  <w:tcW w:w="2410" w:type="dxa"/>
                </w:tcPr>
                <w:p>
                  <w:pPr>
                    <w:adjustRightInd w:val="0"/>
                    <w:snapToGrid w:val="0"/>
                    <w:jc w:val="center"/>
                    <w:rPr>
                      <w:color w:val="auto"/>
                      <w:sz w:val="24"/>
                    </w:rPr>
                  </w:pPr>
                  <w:r>
                    <w:rPr>
                      <w:rFonts w:hint="eastAsia"/>
                      <w:color w:val="auto"/>
                      <w:sz w:val="24"/>
                    </w:rPr>
                    <w:t>过滤</w:t>
                  </w:r>
                  <w:r>
                    <w:rPr>
                      <w:color w:val="auto"/>
                      <w:sz w:val="24"/>
                    </w:rPr>
                    <w:t>面积：</w:t>
                  </w:r>
                  <w:r>
                    <w:rPr>
                      <w:rFonts w:hint="eastAsia"/>
                      <w:color w:val="auto"/>
                      <w:sz w:val="24"/>
                    </w:rPr>
                    <w:t>22</w:t>
                  </w:r>
                  <w:r>
                    <w:rPr>
                      <w:color w:val="auto"/>
                      <w:sz w:val="24"/>
                    </w:rPr>
                    <w:t xml:space="preserve"> m</w:t>
                  </w:r>
                  <w:r>
                    <w:rPr>
                      <w:color w:val="auto"/>
                      <w:sz w:val="24"/>
                      <w:vertAlign w:val="superscript"/>
                    </w:rPr>
                    <w:t>2</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料</w:t>
                  </w:r>
                  <w:r>
                    <w:rPr>
                      <w:color w:val="auto"/>
                      <w:sz w:val="24"/>
                    </w:rPr>
                    <w:t>位计</w:t>
                  </w:r>
                </w:p>
              </w:tc>
              <w:tc>
                <w:tcPr>
                  <w:tcW w:w="2410" w:type="dxa"/>
                </w:tcPr>
                <w:p>
                  <w:pPr>
                    <w:adjustRightInd w:val="0"/>
                    <w:snapToGrid w:val="0"/>
                    <w:jc w:val="center"/>
                    <w:rPr>
                      <w:color w:val="auto"/>
                      <w:sz w:val="24"/>
                    </w:rPr>
                  </w:pPr>
                  <w:r>
                    <w:rPr>
                      <w:rFonts w:hint="eastAsia"/>
                      <w:color w:val="auto"/>
                      <w:sz w:val="24"/>
                    </w:rPr>
                    <w:t>高</w:t>
                  </w:r>
                  <w:r>
                    <w:rPr>
                      <w:color w:val="auto"/>
                      <w:sz w:val="24"/>
                    </w:rPr>
                    <w:t>低位料位计</w:t>
                  </w:r>
                </w:p>
              </w:tc>
              <w:tc>
                <w:tcPr>
                  <w:tcW w:w="979" w:type="dxa"/>
                </w:tcPr>
                <w:p>
                  <w:pPr>
                    <w:adjustRightInd w:val="0"/>
                    <w:snapToGrid w:val="0"/>
                    <w:jc w:val="center"/>
                    <w:rPr>
                      <w:color w:val="auto"/>
                      <w:sz w:val="24"/>
                    </w:rPr>
                  </w:pPr>
                  <w:r>
                    <w:rPr>
                      <w:color w:val="auto"/>
                      <w:sz w:val="24"/>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压</w:t>
                  </w:r>
                  <w:r>
                    <w:rPr>
                      <w:color w:val="auto"/>
                      <w:sz w:val="24"/>
                    </w:rPr>
                    <w:t>力安全阀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w:t>
                  </w:r>
                  <w:r>
                    <w:rPr>
                      <w:rFonts w:ascii="宋体" w:hAnsi="宋体"/>
                      <w:color w:val="auto"/>
                      <w:sz w:val="24"/>
                    </w:rPr>
                    <w:t>273mm</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气</w:t>
                  </w:r>
                  <w:r>
                    <w:rPr>
                      <w:color w:val="auto"/>
                      <w:sz w:val="24"/>
                    </w:rPr>
                    <w:t>动蝶阀</w:t>
                  </w:r>
                </w:p>
              </w:tc>
              <w:tc>
                <w:tcPr>
                  <w:tcW w:w="2410" w:type="dxa"/>
                </w:tcPr>
                <w:p>
                  <w:pPr>
                    <w:adjustRightInd w:val="0"/>
                    <w:snapToGrid w:val="0"/>
                    <w:jc w:val="center"/>
                    <w:rPr>
                      <w:color w:val="auto"/>
                      <w:sz w:val="24"/>
                    </w:rPr>
                  </w:pPr>
                  <w:r>
                    <w:rPr>
                      <w:rFonts w:hint="eastAsia"/>
                      <w:color w:val="auto"/>
                      <w:sz w:val="24"/>
                    </w:rPr>
                    <w:t>公称</w:t>
                  </w:r>
                  <w:r>
                    <w:rPr>
                      <w:color w:val="auto"/>
                      <w:sz w:val="24"/>
                    </w:rPr>
                    <w:t>直径：</w:t>
                  </w:r>
                  <w:r>
                    <w:rPr>
                      <w:rFonts w:hint="eastAsia" w:ascii="宋体" w:hAnsi="宋体"/>
                      <w:color w:val="auto"/>
                      <w:sz w:val="24"/>
                    </w:rPr>
                    <w:t>Φ</w:t>
                  </w:r>
                  <w:r>
                    <w:rPr>
                      <w:rFonts w:ascii="宋体" w:hAnsi="宋体"/>
                      <w:color w:val="auto"/>
                      <w:sz w:val="24"/>
                    </w:rPr>
                    <w:t>300mm</w:t>
                  </w:r>
                </w:p>
              </w:tc>
              <w:tc>
                <w:tcPr>
                  <w:tcW w:w="979" w:type="dxa"/>
                </w:tcPr>
                <w:p>
                  <w:pPr>
                    <w:adjustRightInd w:val="0"/>
                    <w:snapToGrid w:val="0"/>
                    <w:jc w:val="center"/>
                    <w:rPr>
                      <w:color w:val="auto"/>
                      <w:sz w:val="24"/>
                    </w:rPr>
                  </w:pPr>
                  <w:r>
                    <w:rPr>
                      <w:color w:val="auto"/>
                      <w:sz w:val="24"/>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09" w:type="dxa"/>
                  <w:vMerge w:val="continue"/>
                </w:tcPr>
                <w:p>
                  <w:pPr>
                    <w:adjustRightInd w:val="0"/>
                    <w:snapToGrid w:val="0"/>
                    <w:jc w:val="center"/>
                    <w:rPr>
                      <w:color w:val="auto"/>
                      <w:sz w:val="24"/>
                    </w:rPr>
                  </w:pPr>
                </w:p>
              </w:tc>
              <w:tc>
                <w:tcPr>
                  <w:tcW w:w="1504" w:type="dxa"/>
                  <w:vMerge w:val="continue"/>
                </w:tcPr>
                <w:p>
                  <w:pPr>
                    <w:adjustRightInd w:val="0"/>
                    <w:snapToGrid w:val="0"/>
                    <w:jc w:val="center"/>
                    <w:rPr>
                      <w:color w:val="auto"/>
                      <w:sz w:val="24"/>
                    </w:rPr>
                  </w:pPr>
                </w:p>
              </w:tc>
              <w:tc>
                <w:tcPr>
                  <w:tcW w:w="2551" w:type="dxa"/>
                </w:tcPr>
                <w:p>
                  <w:pPr>
                    <w:adjustRightInd w:val="0"/>
                    <w:snapToGrid w:val="0"/>
                    <w:jc w:val="center"/>
                    <w:rPr>
                      <w:color w:val="auto"/>
                      <w:sz w:val="24"/>
                    </w:rPr>
                  </w:pPr>
                  <w:r>
                    <w:rPr>
                      <w:rFonts w:hint="eastAsia"/>
                      <w:color w:val="auto"/>
                      <w:sz w:val="24"/>
                    </w:rPr>
                    <w:t>破</w:t>
                  </w:r>
                  <w:r>
                    <w:rPr>
                      <w:color w:val="auto"/>
                      <w:sz w:val="24"/>
                    </w:rPr>
                    <w:t>拱装置</w:t>
                  </w:r>
                </w:p>
              </w:tc>
              <w:tc>
                <w:tcPr>
                  <w:tcW w:w="2410" w:type="dxa"/>
                </w:tcPr>
                <w:p>
                  <w:pPr>
                    <w:adjustRightInd w:val="0"/>
                    <w:snapToGrid w:val="0"/>
                    <w:jc w:val="center"/>
                    <w:rPr>
                      <w:color w:val="auto"/>
                      <w:sz w:val="24"/>
                    </w:rPr>
                  </w:pPr>
                </w:p>
              </w:tc>
              <w:tc>
                <w:tcPr>
                  <w:tcW w:w="979" w:type="dxa"/>
                </w:tcPr>
                <w:p>
                  <w:pPr>
                    <w:adjustRightInd w:val="0"/>
                    <w:snapToGrid w:val="0"/>
                    <w:jc w:val="center"/>
                    <w:rPr>
                      <w:color w:val="auto"/>
                      <w:sz w:val="24"/>
                    </w:rPr>
                  </w:pPr>
                  <w:r>
                    <w:rPr>
                      <w:color w:val="auto"/>
                      <w:sz w:val="24"/>
                    </w:rPr>
                    <w:t>8</w:t>
                  </w:r>
                  <w:r>
                    <w:rPr>
                      <w:rFonts w:hint="eastAsia"/>
                      <w:color w:val="auto"/>
                      <w:sz w:val="24"/>
                    </w:rPr>
                    <w:t>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709" w:type="dxa"/>
                  <w:vAlign w:val="center"/>
                </w:tcPr>
                <w:p>
                  <w:pPr>
                    <w:adjustRightInd w:val="0"/>
                    <w:snapToGrid w:val="0"/>
                    <w:jc w:val="center"/>
                    <w:rPr>
                      <w:color w:val="auto"/>
                      <w:sz w:val="24"/>
                    </w:rPr>
                  </w:pPr>
                  <w:r>
                    <w:rPr>
                      <w:rFonts w:hint="eastAsia"/>
                      <w:color w:val="auto"/>
                      <w:sz w:val="24"/>
                    </w:rPr>
                    <w:t>14</w:t>
                  </w:r>
                </w:p>
              </w:tc>
              <w:tc>
                <w:tcPr>
                  <w:tcW w:w="1504" w:type="dxa"/>
                  <w:vAlign w:val="center"/>
                </w:tcPr>
                <w:p>
                  <w:pPr>
                    <w:adjustRightInd w:val="0"/>
                    <w:snapToGrid w:val="0"/>
                    <w:jc w:val="center"/>
                    <w:rPr>
                      <w:color w:val="auto"/>
                      <w:sz w:val="24"/>
                    </w:rPr>
                  </w:pPr>
                  <w:r>
                    <w:rPr>
                      <w:rFonts w:hint="eastAsia"/>
                      <w:color w:val="auto"/>
                      <w:sz w:val="24"/>
                    </w:rPr>
                    <w:t>螺旋</w:t>
                  </w:r>
                  <w:r>
                    <w:rPr>
                      <w:color w:val="auto"/>
                      <w:sz w:val="24"/>
                    </w:rPr>
                    <w:t>机</w:t>
                  </w:r>
                </w:p>
              </w:tc>
              <w:tc>
                <w:tcPr>
                  <w:tcW w:w="2551" w:type="dxa"/>
                </w:tcPr>
                <w:p>
                  <w:pPr>
                    <w:adjustRightInd w:val="0"/>
                    <w:snapToGrid w:val="0"/>
                    <w:jc w:val="center"/>
                    <w:rPr>
                      <w:color w:val="auto"/>
                      <w:sz w:val="24"/>
                    </w:rPr>
                  </w:pPr>
                  <w:r>
                    <w:rPr>
                      <w:rFonts w:hint="eastAsia"/>
                      <w:color w:val="auto"/>
                      <w:sz w:val="24"/>
                    </w:rPr>
                    <w:t>螺旋</w:t>
                  </w:r>
                  <w:r>
                    <w:rPr>
                      <w:color w:val="auto"/>
                      <w:sz w:val="24"/>
                    </w:rPr>
                    <w:t>输送机</w:t>
                  </w:r>
                </w:p>
              </w:tc>
              <w:tc>
                <w:tcPr>
                  <w:tcW w:w="2410" w:type="dxa"/>
                </w:tcPr>
                <w:p>
                  <w:pPr>
                    <w:adjustRightInd w:val="0"/>
                    <w:snapToGrid w:val="0"/>
                    <w:jc w:val="center"/>
                    <w:rPr>
                      <w:color w:val="auto"/>
                      <w:sz w:val="24"/>
                    </w:rPr>
                  </w:pPr>
                  <w:r>
                    <w:rPr>
                      <w:rFonts w:hint="eastAsia" w:ascii="宋体" w:hAnsi="宋体"/>
                      <w:color w:val="auto"/>
                      <w:sz w:val="24"/>
                    </w:rPr>
                    <w:t>Φ</w:t>
                  </w:r>
                  <w:r>
                    <w:rPr>
                      <w:rFonts w:ascii="宋体" w:hAnsi="宋体"/>
                      <w:color w:val="auto"/>
                      <w:sz w:val="24"/>
                    </w:rPr>
                    <w:t>273mm</w:t>
                  </w:r>
                </w:p>
              </w:tc>
              <w:tc>
                <w:tcPr>
                  <w:tcW w:w="979" w:type="dxa"/>
                </w:tcPr>
                <w:p>
                  <w:pPr>
                    <w:adjustRightInd w:val="0"/>
                    <w:snapToGrid w:val="0"/>
                    <w:jc w:val="center"/>
                    <w:rPr>
                      <w:color w:val="auto"/>
                      <w:sz w:val="24"/>
                    </w:rPr>
                  </w:pPr>
                  <w:r>
                    <w:rPr>
                      <w:color w:val="auto"/>
                      <w:sz w:val="24"/>
                    </w:rPr>
                    <w:t>8</w:t>
                  </w:r>
                </w:p>
              </w:tc>
            </w:tr>
          </w:tbl>
          <w:p>
            <w:pPr>
              <w:ind w:firstLine="1274" w:firstLineChars="607"/>
              <w:rPr>
                <w:color w:val="auto"/>
              </w:rPr>
            </w:pPr>
            <w:r>
              <w:rPr>
                <w:rFonts w:hint="eastAsia"/>
                <w:color w:val="auto"/>
              </w:rPr>
              <w:t>注：另租赁搅拌车</w:t>
            </w:r>
            <w:r>
              <w:rPr>
                <w:color w:val="auto"/>
              </w:rPr>
              <w:t>20</w:t>
            </w:r>
            <w:r>
              <w:rPr>
                <w:rFonts w:hint="eastAsia"/>
                <w:color w:val="auto"/>
              </w:rPr>
              <w:t>辆、泵车</w:t>
            </w:r>
            <w:r>
              <w:rPr>
                <w:color w:val="auto"/>
              </w:rPr>
              <w:t>3</w:t>
            </w:r>
            <w:r>
              <w:rPr>
                <w:rFonts w:hint="eastAsia"/>
                <w:color w:val="auto"/>
              </w:rPr>
              <w:t>辆、铲车</w:t>
            </w:r>
            <w:r>
              <w:rPr>
                <w:color w:val="auto"/>
              </w:rPr>
              <w:t>2</w:t>
            </w:r>
            <w:r>
              <w:rPr>
                <w:rFonts w:hint="eastAsia"/>
                <w:color w:val="auto"/>
              </w:rPr>
              <w:t>辆。</w:t>
            </w:r>
          </w:p>
          <w:p>
            <w:pPr>
              <w:adjustRightInd w:val="0"/>
              <w:snapToGrid w:val="0"/>
              <w:spacing w:before="120" w:beforeLines="50"/>
              <w:jc w:val="center"/>
              <w:rPr>
                <w:b/>
                <w:bCs/>
                <w:color w:val="auto"/>
                <w:sz w:val="24"/>
              </w:rPr>
            </w:pPr>
            <w:r>
              <w:rPr>
                <w:b/>
                <w:color w:val="auto"/>
                <w:sz w:val="24"/>
              </w:rPr>
              <w:t>表1-5</w:t>
            </w:r>
            <w:r>
              <w:rPr>
                <w:rFonts w:hint="eastAsia"/>
                <w:b/>
                <w:color w:val="auto"/>
                <w:sz w:val="24"/>
              </w:rPr>
              <w:t>其他配套</w:t>
            </w:r>
            <w:r>
              <w:rPr>
                <w:b/>
                <w:bCs/>
                <w:color w:val="auto"/>
                <w:sz w:val="24"/>
              </w:rPr>
              <w:t>设备情况一览表</w:t>
            </w:r>
          </w:p>
          <w:tbl>
            <w:tblPr>
              <w:tblStyle w:val="29"/>
              <w:tblW w:w="0" w:type="auto"/>
              <w:tblInd w:w="13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0"/>
              <w:gridCol w:w="2130"/>
              <w:gridCol w:w="2131"/>
              <w:gridCol w:w="17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30" w:type="dxa"/>
                  <w:vAlign w:val="center"/>
                </w:tcPr>
                <w:p>
                  <w:pPr>
                    <w:spacing w:line="360" w:lineRule="auto"/>
                    <w:jc w:val="center"/>
                    <w:rPr>
                      <w:color w:val="auto"/>
                      <w:sz w:val="24"/>
                    </w:rPr>
                  </w:pPr>
                  <w:r>
                    <w:rPr>
                      <w:rFonts w:hint="eastAsia"/>
                      <w:color w:val="auto"/>
                      <w:sz w:val="24"/>
                    </w:rPr>
                    <w:t>序号</w:t>
                  </w:r>
                </w:p>
              </w:tc>
              <w:tc>
                <w:tcPr>
                  <w:tcW w:w="2130" w:type="dxa"/>
                  <w:vAlign w:val="center"/>
                </w:tcPr>
                <w:p>
                  <w:pPr>
                    <w:spacing w:line="360" w:lineRule="auto"/>
                    <w:jc w:val="center"/>
                    <w:rPr>
                      <w:color w:val="auto"/>
                      <w:sz w:val="24"/>
                    </w:rPr>
                  </w:pPr>
                  <w:r>
                    <w:rPr>
                      <w:rFonts w:hint="eastAsia"/>
                      <w:color w:val="auto"/>
                      <w:sz w:val="24"/>
                    </w:rPr>
                    <w:t>设备名称</w:t>
                  </w:r>
                </w:p>
              </w:tc>
              <w:tc>
                <w:tcPr>
                  <w:tcW w:w="2131" w:type="dxa"/>
                  <w:vAlign w:val="center"/>
                </w:tcPr>
                <w:p>
                  <w:pPr>
                    <w:spacing w:line="360" w:lineRule="auto"/>
                    <w:jc w:val="center"/>
                    <w:rPr>
                      <w:color w:val="auto"/>
                      <w:sz w:val="24"/>
                    </w:rPr>
                  </w:pPr>
                  <w:r>
                    <w:rPr>
                      <w:rFonts w:hint="eastAsia"/>
                      <w:color w:val="auto"/>
                      <w:sz w:val="24"/>
                    </w:rPr>
                    <w:t>型号</w:t>
                  </w:r>
                </w:p>
              </w:tc>
              <w:tc>
                <w:tcPr>
                  <w:tcW w:w="1713" w:type="dxa"/>
                  <w:vAlign w:val="center"/>
                </w:tcPr>
                <w:p>
                  <w:pPr>
                    <w:spacing w:line="360" w:lineRule="auto"/>
                    <w:jc w:val="center"/>
                    <w:rPr>
                      <w:color w:val="auto"/>
                      <w:sz w:val="24"/>
                    </w:rPr>
                  </w:pPr>
                  <w:r>
                    <w:rPr>
                      <w:rFonts w:hint="eastAsia"/>
                      <w:color w:val="auto"/>
                      <w:sz w:val="24"/>
                    </w:rPr>
                    <w:t>数量（台）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30" w:type="dxa"/>
                  <w:vAlign w:val="center"/>
                </w:tcPr>
                <w:p>
                  <w:pPr>
                    <w:spacing w:line="360" w:lineRule="auto"/>
                    <w:jc w:val="center"/>
                    <w:rPr>
                      <w:color w:val="auto"/>
                      <w:sz w:val="24"/>
                    </w:rPr>
                  </w:pPr>
                  <w:r>
                    <w:rPr>
                      <w:rFonts w:hint="eastAsia"/>
                      <w:color w:val="auto"/>
                      <w:sz w:val="24"/>
                    </w:rPr>
                    <w:t>1</w:t>
                  </w:r>
                </w:p>
              </w:tc>
              <w:tc>
                <w:tcPr>
                  <w:tcW w:w="2130" w:type="dxa"/>
                  <w:vAlign w:val="center"/>
                </w:tcPr>
                <w:p>
                  <w:pPr>
                    <w:spacing w:line="360" w:lineRule="auto"/>
                    <w:jc w:val="center"/>
                    <w:rPr>
                      <w:color w:val="auto"/>
                      <w:sz w:val="24"/>
                    </w:rPr>
                  </w:pPr>
                  <w:r>
                    <w:rPr>
                      <w:rFonts w:hint="eastAsia"/>
                      <w:color w:val="auto"/>
                      <w:sz w:val="24"/>
                    </w:rPr>
                    <w:t>砂</w:t>
                  </w:r>
                  <w:r>
                    <w:rPr>
                      <w:color w:val="auto"/>
                      <w:sz w:val="24"/>
                    </w:rPr>
                    <w:t>石分离</w:t>
                  </w:r>
                  <w:r>
                    <w:rPr>
                      <w:rFonts w:hint="eastAsia"/>
                      <w:color w:val="auto"/>
                      <w:sz w:val="24"/>
                    </w:rPr>
                    <w:t>机</w:t>
                  </w:r>
                </w:p>
              </w:tc>
              <w:tc>
                <w:tcPr>
                  <w:tcW w:w="2131" w:type="dxa"/>
                  <w:vAlign w:val="center"/>
                </w:tcPr>
                <w:p>
                  <w:pPr>
                    <w:spacing w:line="360" w:lineRule="auto"/>
                    <w:jc w:val="center"/>
                    <w:rPr>
                      <w:color w:val="auto"/>
                      <w:sz w:val="24"/>
                    </w:rPr>
                  </w:pPr>
                  <w:r>
                    <w:rPr>
                      <w:rFonts w:hint="eastAsia"/>
                      <w:color w:val="auto"/>
                      <w:sz w:val="24"/>
                    </w:rPr>
                    <w:t>LDE300</w:t>
                  </w:r>
                </w:p>
              </w:tc>
              <w:tc>
                <w:tcPr>
                  <w:tcW w:w="1713" w:type="dxa"/>
                  <w:vAlign w:val="center"/>
                </w:tcPr>
                <w:p>
                  <w:pPr>
                    <w:spacing w:line="360" w:lineRule="auto"/>
                    <w:jc w:val="center"/>
                    <w:rPr>
                      <w:color w:val="auto"/>
                      <w:sz w:val="24"/>
                    </w:rPr>
                  </w:pPr>
                  <w:r>
                    <w:rPr>
                      <w:rFonts w:hint="eastAsia"/>
                      <w:color w:val="auto"/>
                      <w:sz w:val="24"/>
                    </w:rPr>
                    <w:t>1套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30" w:type="dxa"/>
                  <w:vAlign w:val="center"/>
                </w:tcPr>
                <w:p>
                  <w:pPr>
                    <w:spacing w:line="360" w:lineRule="auto"/>
                    <w:jc w:val="center"/>
                    <w:rPr>
                      <w:color w:val="auto"/>
                      <w:sz w:val="24"/>
                    </w:rPr>
                  </w:pPr>
                  <w:r>
                    <w:rPr>
                      <w:color w:val="auto"/>
                      <w:sz w:val="24"/>
                    </w:rPr>
                    <w:t>2</w:t>
                  </w:r>
                </w:p>
              </w:tc>
              <w:tc>
                <w:tcPr>
                  <w:tcW w:w="2130" w:type="dxa"/>
                  <w:vAlign w:val="center"/>
                </w:tcPr>
                <w:p>
                  <w:pPr>
                    <w:spacing w:line="360" w:lineRule="auto"/>
                    <w:jc w:val="center"/>
                    <w:rPr>
                      <w:color w:val="auto"/>
                      <w:sz w:val="24"/>
                    </w:rPr>
                  </w:pPr>
                  <w:r>
                    <w:rPr>
                      <w:rFonts w:hint="eastAsia"/>
                      <w:color w:val="auto"/>
                      <w:sz w:val="24"/>
                    </w:rPr>
                    <w:t>炮雾除尘</w:t>
                  </w:r>
                  <w:r>
                    <w:rPr>
                      <w:color w:val="auto"/>
                      <w:sz w:val="24"/>
                    </w:rPr>
                    <w:t>器</w:t>
                  </w:r>
                </w:p>
              </w:tc>
              <w:tc>
                <w:tcPr>
                  <w:tcW w:w="2131" w:type="dxa"/>
                  <w:vAlign w:val="center"/>
                </w:tcPr>
                <w:p>
                  <w:pPr>
                    <w:spacing w:line="360" w:lineRule="auto"/>
                    <w:jc w:val="center"/>
                    <w:rPr>
                      <w:color w:val="auto"/>
                      <w:sz w:val="24"/>
                    </w:rPr>
                  </w:pPr>
                </w:p>
              </w:tc>
              <w:tc>
                <w:tcPr>
                  <w:tcW w:w="1713" w:type="dxa"/>
                  <w:vAlign w:val="center"/>
                </w:tcPr>
                <w:p>
                  <w:pPr>
                    <w:spacing w:line="360" w:lineRule="auto"/>
                    <w:jc w:val="center"/>
                    <w:rPr>
                      <w:color w:val="auto"/>
                      <w:sz w:val="24"/>
                    </w:rPr>
                  </w:pPr>
                  <w:r>
                    <w:rPr>
                      <w:color w:val="auto"/>
                      <w:sz w:val="24"/>
                    </w:rPr>
                    <w:t>4</w:t>
                  </w:r>
                  <w:r>
                    <w:rPr>
                      <w:rFonts w:hint="eastAsia"/>
                      <w:color w:val="auto"/>
                      <w:sz w:val="24"/>
                    </w:rPr>
                    <w:t>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30" w:type="dxa"/>
                  <w:vAlign w:val="center"/>
                </w:tcPr>
                <w:p>
                  <w:pPr>
                    <w:spacing w:line="360" w:lineRule="auto"/>
                    <w:jc w:val="center"/>
                    <w:rPr>
                      <w:color w:val="auto"/>
                      <w:sz w:val="24"/>
                    </w:rPr>
                  </w:pPr>
                  <w:r>
                    <w:rPr>
                      <w:rFonts w:hint="eastAsia"/>
                      <w:color w:val="auto"/>
                      <w:sz w:val="24"/>
                    </w:rPr>
                    <w:t>3</w:t>
                  </w:r>
                </w:p>
              </w:tc>
              <w:tc>
                <w:tcPr>
                  <w:tcW w:w="2130" w:type="dxa"/>
                  <w:vAlign w:val="center"/>
                </w:tcPr>
                <w:p>
                  <w:pPr>
                    <w:spacing w:line="360" w:lineRule="auto"/>
                    <w:jc w:val="center"/>
                    <w:rPr>
                      <w:color w:val="auto"/>
                      <w:sz w:val="24"/>
                    </w:rPr>
                  </w:pPr>
                  <w:r>
                    <w:rPr>
                      <w:rFonts w:hint="eastAsia"/>
                      <w:color w:val="auto"/>
                      <w:sz w:val="24"/>
                    </w:rPr>
                    <w:t>压</w:t>
                  </w:r>
                  <w:r>
                    <w:rPr>
                      <w:color w:val="auto"/>
                      <w:sz w:val="24"/>
                    </w:rPr>
                    <w:t>滤机</w:t>
                  </w:r>
                </w:p>
              </w:tc>
              <w:tc>
                <w:tcPr>
                  <w:tcW w:w="2131" w:type="dxa"/>
                  <w:vAlign w:val="center"/>
                </w:tcPr>
                <w:p>
                  <w:pPr>
                    <w:spacing w:line="360" w:lineRule="auto"/>
                    <w:jc w:val="center"/>
                    <w:rPr>
                      <w:color w:val="auto"/>
                      <w:sz w:val="24"/>
                    </w:rPr>
                  </w:pPr>
                  <w:r>
                    <w:rPr>
                      <w:rFonts w:hint="eastAsia"/>
                      <w:color w:val="auto"/>
                      <w:sz w:val="24"/>
                    </w:rPr>
                    <w:t>XMZ400/1500-U</w:t>
                  </w:r>
                </w:p>
              </w:tc>
              <w:tc>
                <w:tcPr>
                  <w:tcW w:w="1713" w:type="dxa"/>
                  <w:vAlign w:val="center"/>
                </w:tcPr>
                <w:p>
                  <w:pPr>
                    <w:spacing w:line="360" w:lineRule="auto"/>
                    <w:jc w:val="center"/>
                    <w:rPr>
                      <w:color w:val="auto"/>
                      <w:sz w:val="24"/>
                    </w:rPr>
                  </w:pPr>
                  <w:r>
                    <w:rPr>
                      <w:rFonts w:hint="eastAsia"/>
                      <w:color w:val="auto"/>
                      <w:sz w:val="24"/>
                    </w:rPr>
                    <w:t>1台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30" w:type="dxa"/>
                  <w:vAlign w:val="center"/>
                </w:tcPr>
                <w:p>
                  <w:pPr>
                    <w:spacing w:line="360" w:lineRule="auto"/>
                    <w:jc w:val="center"/>
                    <w:rPr>
                      <w:color w:val="auto"/>
                      <w:sz w:val="24"/>
                    </w:rPr>
                  </w:pPr>
                  <w:r>
                    <w:rPr>
                      <w:rFonts w:hint="eastAsia"/>
                      <w:color w:val="auto"/>
                      <w:sz w:val="24"/>
                    </w:rPr>
                    <w:t>4</w:t>
                  </w:r>
                </w:p>
              </w:tc>
              <w:tc>
                <w:tcPr>
                  <w:tcW w:w="2130" w:type="dxa"/>
                  <w:vAlign w:val="center"/>
                </w:tcPr>
                <w:p>
                  <w:pPr>
                    <w:spacing w:line="360" w:lineRule="auto"/>
                    <w:jc w:val="center"/>
                    <w:rPr>
                      <w:color w:val="auto"/>
                      <w:sz w:val="24"/>
                    </w:rPr>
                  </w:pPr>
                  <w:r>
                    <w:rPr>
                      <w:rFonts w:hint="eastAsia"/>
                      <w:color w:val="auto"/>
                      <w:sz w:val="24"/>
                    </w:rPr>
                    <w:t>备</w:t>
                  </w:r>
                  <w:r>
                    <w:rPr>
                      <w:color w:val="auto"/>
                      <w:sz w:val="24"/>
                    </w:rPr>
                    <w:t>用柴油发电机</w:t>
                  </w:r>
                </w:p>
              </w:tc>
              <w:tc>
                <w:tcPr>
                  <w:tcW w:w="2131" w:type="dxa"/>
                  <w:vAlign w:val="center"/>
                </w:tcPr>
                <w:p>
                  <w:pPr>
                    <w:spacing w:line="360" w:lineRule="auto"/>
                    <w:jc w:val="center"/>
                    <w:rPr>
                      <w:color w:val="auto"/>
                      <w:sz w:val="24"/>
                    </w:rPr>
                  </w:pPr>
                  <w:r>
                    <w:rPr>
                      <w:rFonts w:hint="eastAsia"/>
                      <w:color w:val="auto"/>
                      <w:sz w:val="24"/>
                    </w:rPr>
                    <w:t>400</w:t>
                  </w:r>
                  <w:r>
                    <w:rPr>
                      <w:color w:val="auto"/>
                      <w:sz w:val="24"/>
                    </w:rPr>
                    <w:t>kw</w:t>
                  </w:r>
                </w:p>
              </w:tc>
              <w:tc>
                <w:tcPr>
                  <w:tcW w:w="1713" w:type="dxa"/>
                  <w:vAlign w:val="center"/>
                </w:tcPr>
                <w:p>
                  <w:pPr>
                    <w:spacing w:line="360" w:lineRule="auto"/>
                    <w:jc w:val="center"/>
                    <w:rPr>
                      <w:color w:val="auto"/>
                      <w:sz w:val="24"/>
                    </w:rPr>
                  </w:pPr>
                  <w:r>
                    <w:rPr>
                      <w:rFonts w:hint="eastAsia"/>
                      <w:color w:val="auto"/>
                      <w:sz w:val="24"/>
                    </w:rPr>
                    <w:t>1台</w:t>
                  </w:r>
                </w:p>
              </w:tc>
            </w:tr>
          </w:tbl>
          <w:p>
            <w:pPr>
              <w:adjustRightInd w:val="0"/>
              <w:snapToGrid w:val="0"/>
              <w:spacing w:before="120" w:beforeLines="50"/>
              <w:jc w:val="center"/>
              <w:rPr>
                <w:b/>
                <w:bCs/>
                <w:color w:val="auto"/>
                <w:sz w:val="24"/>
              </w:rPr>
            </w:pPr>
            <w:r>
              <w:rPr>
                <w:b/>
                <w:color w:val="auto"/>
                <w:sz w:val="24"/>
              </w:rPr>
              <w:t>表1-6实验室</w:t>
            </w:r>
            <w:r>
              <w:rPr>
                <w:b/>
                <w:bCs/>
                <w:color w:val="auto"/>
                <w:sz w:val="24"/>
              </w:rPr>
              <w:t>设备清单</w:t>
            </w:r>
          </w:p>
          <w:tbl>
            <w:tblPr>
              <w:tblStyle w:val="29"/>
              <w:tblW w:w="7270" w:type="dxa"/>
              <w:jc w:val="center"/>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73"/>
              <w:gridCol w:w="987"/>
              <w:gridCol w:w="2415"/>
              <w:gridCol w:w="995"/>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设备名称</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数量</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设备名称</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数量</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干湿球温湿度计</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Cs w:val="21"/>
                    </w:rPr>
                  </w:pPr>
                  <w:r>
                    <w:rPr>
                      <w:color w:val="auto"/>
                      <w:szCs w:val="21"/>
                    </w:rPr>
                    <w:t>4台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沸煮箱</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压力试验机</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2台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维卡仪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电子天平</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3台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负压筛析仪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游标卡尺</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水泥胶砂流动度测定仪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养护室温湿度自动控制仪</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水泥胶砂搅拌机</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水泥抗压夹具</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水泥净浆搅拌机</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电动抗折试验机</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水泥砼恒温恒湿标准养护箱</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电子计重秤</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针片状规准仪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电子台秤</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雷氏夹</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数显鼓风干燥箱</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雷氏夹测定仪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箱式电阻炉</w:t>
                  </w:r>
                </w:p>
              </w:tc>
              <w:tc>
                <w:tcPr>
                  <w:tcW w:w="987"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酸度计</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全</w:t>
                  </w:r>
                  <w:r>
                    <w:rPr>
                      <w:rFonts w:hint="eastAsia"/>
                      <w:color w:val="auto"/>
                      <w:szCs w:val="21"/>
                    </w:rPr>
                    <w:t>自</w:t>
                  </w:r>
                  <w:r>
                    <w:rPr>
                      <w:color w:val="auto"/>
                      <w:szCs w:val="21"/>
                    </w:rPr>
                    <w:t>动比表面积测定仪</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直读式混凝土含气量测定仪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1套</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强制式单卧轴混凝土</w:t>
                  </w:r>
                  <w:r>
                    <w:rPr>
                      <w:color w:val="auto"/>
                      <w:szCs w:val="21"/>
                    </w:rPr>
                    <w:cr/>
                  </w:r>
                  <w:r>
                    <w:rPr>
                      <w:color w:val="auto"/>
                      <w:szCs w:val="21"/>
                    </w:rPr>
                    <w:t>拌机</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砼压力泌水仪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新标准方孔石子筛</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塌落度筒</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新标准方孔砂石筛</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水泥游离氧化钙快速测定仪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震动台</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振实台</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震击式标准振筛机</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砼抗渗仪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spacing w:line="360" w:lineRule="exact"/>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干湿球温湿度计</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水泥标准负压筛</w:t>
                  </w:r>
                </w:p>
              </w:tc>
              <w:tc>
                <w:tcPr>
                  <w:tcW w:w="99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电子数显砼贯入</w:t>
                  </w:r>
                  <w:r>
                    <w:rPr>
                      <w:rFonts w:hint="eastAsia"/>
                      <w:color w:val="auto"/>
                      <w:szCs w:val="21"/>
                    </w:rPr>
                    <w:t>阻</w:t>
                  </w:r>
                  <w:r>
                    <w:rPr>
                      <w:color w:val="auto"/>
                      <w:szCs w:val="21"/>
                    </w:rPr>
                    <w:t>力仪</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碳化深度测量仪</w:t>
                  </w:r>
                </w:p>
              </w:tc>
              <w:tc>
                <w:tcPr>
                  <w:tcW w:w="99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873"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石子压碎值仪</w:t>
                  </w:r>
                </w:p>
              </w:tc>
              <w:tc>
                <w:tcPr>
                  <w:tcW w:w="987"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1台</w:t>
                  </w:r>
                </w:p>
              </w:tc>
              <w:tc>
                <w:tcPr>
                  <w:tcW w:w="241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回弹仪ZC3-A</w:t>
                  </w:r>
                </w:p>
              </w:tc>
              <w:tc>
                <w:tcPr>
                  <w:tcW w:w="995" w:type="dxa"/>
                  <w:tcBorders>
                    <w:top w:val="single" w:color="000000" w:sz="8" w:space="0"/>
                    <w:left w:val="single" w:color="000000" w:sz="8" w:space="0"/>
                    <w:bottom w:val="single" w:color="000000" w:sz="8" w:space="0"/>
                    <w:right w:val="single" w:color="000000" w:sz="8" w:space="0"/>
                  </w:tcBorders>
                  <w:shd w:val="clear" w:color="auto" w:fill="FFFFFF"/>
                </w:tcPr>
                <w:p>
                  <w:pPr>
                    <w:jc w:val="center"/>
                    <w:rPr>
                      <w:color w:val="auto"/>
                      <w:szCs w:val="21"/>
                    </w:rPr>
                  </w:pPr>
                  <w:r>
                    <w:rPr>
                      <w:color w:val="auto"/>
                      <w:szCs w:val="21"/>
                    </w:rPr>
                    <w:t>2台</w:t>
                  </w:r>
                </w:p>
              </w:tc>
            </w:tr>
          </w:tbl>
          <w:p>
            <w:pPr>
              <w:pStyle w:val="10"/>
              <w:spacing w:before="120" w:beforeLines="50"/>
              <w:rPr>
                <w:rFonts w:ascii="Times New Roman" w:hAnsi="Times New Roman"/>
                <w:color w:val="auto"/>
                <w:spacing w:val="-4"/>
              </w:rPr>
            </w:pPr>
            <w:r>
              <w:rPr>
                <w:rFonts w:ascii="Times New Roman" w:hAnsi="Times New Roman"/>
                <w:color w:val="auto"/>
                <w:spacing w:val="-4"/>
              </w:rPr>
              <w:t>表1-7厂区原辅材料一览表</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6"/>
              <w:gridCol w:w="2751"/>
              <w:gridCol w:w="1560"/>
              <w:gridCol w:w="3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bookmarkStart w:id="0" w:name="_Hlk536356051"/>
                  <w:r>
                    <w:rPr>
                      <w:color w:val="auto"/>
                      <w:szCs w:val="21"/>
                    </w:rPr>
                    <w:t>序号</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原辅料名称</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年用量（吨）</w:t>
                  </w:r>
                </w:p>
              </w:tc>
              <w:tc>
                <w:tcPr>
                  <w:tcW w:w="369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石料（粒径1-3cm）</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5.3</w:t>
                  </w:r>
                  <w:r>
                    <w:rPr>
                      <w:rFonts w:hint="eastAsia"/>
                      <w:color w:val="auto"/>
                      <w:szCs w:val="21"/>
                    </w:rPr>
                    <w:t>万</w:t>
                  </w:r>
                </w:p>
              </w:tc>
              <w:tc>
                <w:tcPr>
                  <w:tcW w:w="3694" w:type="dxa"/>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制砂工序原料</w:t>
                  </w:r>
                  <w:r>
                    <w:rPr>
                      <w:rFonts w:hint="eastAsia"/>
                      <w:color w:val="auto"/>
                      <w:szCs w:val="21"/>
                    </w:rPr>
                    <w:t>，来自石场碎石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2</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水泥</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7</w:t>
                  </w:r>
                  <w:r>
                    <w:rPr>
                      <w:rFonts w:hint="eastAsia"/>
                      <w:color w:val="auto"/>
                      <w:szCs w:val="21"/>
                    </w:rPr>
                    <w:t>万</w:t>
                  </w:r>
                </w:p>
              </w:tc>
              <w:tc>
                <w:tcPr>
                  <w:tcW w:w="3694" w:type="dxa"/>
                  <w:vMerge w:val="restart"/>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搅拌工序原料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3</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石</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10</w:t>
                  </w:r>
                  <w:r>
                    <w:rPr>
                      <w:rFonts w:hint="eastAsia"/>
                      <w:color w:val="auto"/>
                      <w:szCs w:val="21"/>
                    </w:rPr>
                    <w:t>万</w:t>
                  </w:r>
                </w:p>
              </w:tc>
              <w:tc>
                <w:tcPr>
                  <w:tcW w:w="3694" w:type="dxa"/>
                  <w:vMerge w:val="continue"/>
                  <w:tcBorders>
                    <w:left w:val="single" w:color="auto" w:sz="4" w:space="0"/>
                    <w:right w:val="single" w:color="auto" w:sz="4" w:space="0"/>
                  </w:tcBorders>
                  <w:vAlign w:val="center"/>
                </w:tcPr>
                <w:p>
                  <w:pPr>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4</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外加剂</w:t>
                  </w:r>
                  <w:r>
                    <w:rPr>
                      <w:rFonts w:hint="eastAsia"/>
                      <w:color w:val="auto"/>
                      <w:szCs w:val="21"/>
                    </w:rPr>
                    <w:t>（高效</w:t>
                  </w:r>
                  <w:r>
                    <w:rPr>
                      <w:color w:val="auto"/>
                      <w:szCs w:val="21"/>
                    </w:rPr>
                    <w:t>减水</w:t>
                  </w:r>
                  <w:r>
                    <w:rPr>
                      <w:rFonts w:hint="eastAsia"/>
                      <w:color w:val="auto"/>
                      <w:szCs w:val="21"/>
                    </w:rPr>
                    <w:t>剂）</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3000</w:t>
                  </w:r>
                </w:p>
              </w:tc>
              <w:tc>
                <w:tcPr>
                  <w:tcW w:w="3694" w:type="dxa"/>
                  <w:vMerge w:val="continue"/>
                  <w:tcBorders>
                    <w:left w:val="single" w:color="auto" w:sz="4" w:space="0"/>
                    <w:right w:val="single" w:color="auto" w:sz="4" w:space="0"/>
                  </w:tcBorders>
                  <w:vAlign w:val="center"/>
                </w:tcPr>
                <w:p>
                  <w:pPr>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5</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掺合</w:t>
                  </w:r>
                  <w:r>
                    <w:rPr>
                      <w:color w:val="auto"/>
                      <w:szCs w:val="21"/>
                    </w:rPr>
                    <w:t>料</w:t>
                  </w:r>
                  <w:r>
                    <w:rPr>
                      <w:rFonts w:hint="eastAsia"/>
                      <w:color w:val="auto"/>
                      <w:szCs w:val="21"/>
                    </w:rPr>
                    <w:t>（</w:t>
                  </w:r>
                  <w:r>
                    <w:rPr>
                      <w:color w:val="auto"/>
                      <w:szCs w:val="21"/>
                    </w:rPr>
                    <w:t>粉煤灰</w:t>
                  </w:r>
                  <w:r>
                    <w:rPr>
                      <w:rFonts w:hint="eastAsia"/>
                      <w:color w:val="auto"/>
                      <w:szCs w:val="21"/>
                    </w:rPr>
                    <w:t>）</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w:t>
                  </w:r>
                  <w:r>
                    <w:rPr>
                      <w:rFonts w:hint="eastAsia"/>
                      <w:color w:val="auto"/>
                      <w:szCs w:val="21"/>
                    </w:rPr>
                    <w:t>万</w:t>
                  </w:r>
                </w:p>
              </w:tc>
              <w:tc>
                <w:tcPr>
                  <w:tcW w:w="3694" w:type="dxa"/>
                  <w:vMerge w:val="continue"/>
                  <w:tcBorders>
                    <w:left w:val="single" w:color="auto" w:sz="4" w:space="0"/>
                    <w:right w:val="single" w:color="auto" w:sz="4" w:space="0"/>
                  </w:tcBorders>
                  <w:vAlign w:val="center"/>
                </w:tcPr>
                <w:p>
                  <w:pPr>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6</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水</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3.5</w:t>
                  </w:r>
                  <w:r>
                    <w:rPr>
                      <w:rFonts w:hint="eastAsia"/>
                      <w:color w:val="auto"/>
                      <w:szCs w:val="21"/>
                    </w:rPr>
                    <w:t>万</w:t>
                  </w:r>
                </w:p>
              </w:tc>
              <w:tc>
                <w:tcPr>
                  <w:tcW w:w="3694" w:type="dxa"/>
                  <w:vMerge w:val="continue"/>
                  <w:tcBorders>
                    <w:left w:val="single" w:color="auto" w:sz="4" w:space="0"/>
                    <w:right w:val="single" w:color="auto" w:sz="4" w:space="0"/>
                  </w:tcBorders>
                  <w:vAlign w:val="center"/>
                </w:tcPr>
                <w:p>
                  <w:pPr>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7</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天然沙</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5</w:t>
                  </w:r>
                  <w:r>
                    <w:rPr>
                      <w:rFonts w:hint="eastAsia"/>
                      <w:color w:val="auto"/>
                      <w:szCs w:val="21"/>
                    </w:rPr>
                    <w:t>万</w:t>
                  </w:r>
                </w:p>
              </w:tc>
              <w:tc>
                <w:tcPr>
                  <w:tcW w:w="3694" w:type="dxa"/>
                  <w:vMerge w:val="continue"/>
                  <w:tcBorders>
                    <w:left w:val="single" w:color="auto" w:sz="4" w:space="0"/>
                    <w:bottom w:val="single" w:color="auto" w:sz="4" w:space="0"/>
                    <w:right w:val="single" w:color="auto" w:sz="4" w:space="0"/>
                  </w:tcBorders>
                  <w:vAlign w:val="center"/>
                </w:tcPr>
                <w:p>
                  <w:pPr>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8</w:t>
                  </w:r>
                </w:p>
              </w:tc>
              <w:tc>
                <w:tcPr>
                  <w:tcW w:w="2751"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机</w:t>
                  </w:r>
                  <w:r>
                    <w:rPr>
                      <w:color w:val="auto"/>
                      <w:szCs w:val="21"/>
                    </w:rPr>
                    <w:t>制砂</w:t>
                  </w:r>
                </w:p>
              </w:tc>
              <w:tc>
                <w:tcPr>
                  <w:tcW w:w="1560"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5</w:t>
                  </w:r>
                  <w:r>
                    <w:rPr>
                      <w:rFonts w:hint="eastAsia"/>
                      <w:color w:val="auto"/>
                      <w:szCs w:val="21"/>
                    </w:rPr>
                    <w:t>万</w:t>
                  </w:r>
                </w:p>
              </w:tc>
              <w:tc>
                <w:tcPr>
                  <w:tcW w:w="369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搅拌工序原料（</w:t>
                  </w:r>
                  <w:r>
                    <w:rPr>
                      <w:rFonts w:hint="eastAsia"/>
                      <w:color w:val="auto"/>
                      <w:szCs w:val="21"/>
                    </w:rPr>
                    <w:t>本</w:t>
                  </w:r>
                  <w:r>
                    <w:rPr>
                      <w:color w:val="auto"/>
                      <w:szCs w:val="21"/>
                    </w:rPr>
                    <w:t>项目机制砂产品)</w:t>
                  </w:r>
                </w:p>
              </w:tc>
            </w:tr>
            <w:bookmarkEnd w:id="0"/>
          </w:tbl>
          <w:p>
            <w:pPr>
              <w:spacing w:line="360" w:lineRule="auto"/>
              <w:ind w:firstLine="413" w:firstLineChars="196"/>
              <w:rPr>
                <w:b/>
                <w:color w:val="auto"/>
              </w:rPr>
            </w:pPr>
          </w:p>
          <w:p>
            <w:pPr>
              <w:spacing w:line="360" w:lineRule="auto"/>
              <w:ind w:firstLine="472" w:firstLineChars="196"/>
              <w:rPr>
                <w:b/>
                <w:bCs/>
                <w:color w:val="auto"/>
                <w:sz w:val="24"/>
              </w:rPr>
            </w:pPr>
            <w:r>
              <w:rPr>
                <w:b/>
                <w:bCs/>
                <w:color w:val="auto"/>
                <w:sz w:val="24"/>
              </w:rPr>
              <w:t>原辅料性质：</w:t>
            </w:r>
          </w:p>
          <w:p>
            <w:pPr>
              <w:spacing w:line="360" w:lineRule="auto"/>
              <w:ind w:firstLine="472" w:firstLineChars="196"/>
              <w:rPr>
                <w:b/>
                <w:bCs/>
                <w:color w:val="auto"/>
                <w:sz w:val="24"/>
              </w:rPr>
            </w:pPr>
            <w:r>
              <w:rPr>
                <w:b/>
                <w:bCs/>
                <w:color w:val="auto"/>
                <w:sz w:val="24"/>
              </w:rPr>
              <w:t>水泥：</w:t>
            </w:r>
            <w:r>
              <w:rPr>
                <w:color w:val="auto"/>
                <w:sz w:val="24"/>
              </w:rPr>
              <w:t>以硅酸盐水泥熟料和适量的石膏、及规定的混合材料制成的水硬性胶凝材料，本项目普通硅酸盐水泥。</w:t>
            </w:r>
          </w:p>
          <w:p>
            <w:pPr>
              <w:spacing w:line="360" w:lineRule="auto"/>
              <w:ind w:firstLine="472" w:firstLineChars="196"/>
              <w:rPr>
                <w:color w:val="auto"/>
                <w:sz w:val="24"/>
              </w:rPr>
            </w:pPr>
            <w:r>
              <w:rPr>
                <w:b/>
                <w:bCs/>
                <w:color w:val="auto"/>
                <w:sz w:val="24"/>
              </w:rPr>
              <w:t>外加剂</w:t>
            </w:r>
            <w:r>
              <w:rPr>
                <w:rFonts w:hint="eastAsia"/>
                <w:b/>
                <w:bCs/>
                <w:color w:val="auto"/>
                <w:sz w:val="24"/>
              </w:rPr>
              <w:t>（高效减水剂）</w:t>
            </w:r>
            <w:r>
              <w:rPr>
                <w:b/>
                <w:bCs/>
                <w:color w:val="auto"/>
                <w:sz w:val="24"/>
              </w:rPr>
              <w:t>：</w:t>
            </w:r>
            <w:r>
              <w:rPr>
                <w:rFonts w:hint="eastAsia"/>
                <w:color w:val="auto"/>
                <w:sz w:val="24"/>
              </w:rPr>
              <w:t>减水剂是一种在维持混凝土坍落度基本不变的条件下，能减少拌合用水量的混凝土外加剂。大多属于阴离子表面活性剂，有木质素磺酸盐、萘磺酸盐甲醛聚合物等。加入混凝土拌合物后对水泥颗粒有分散作用，能改善其工作性，减少单位用水量，改善混凝土拌合物的流动性；或减少单位水泥用量，节约水泥</w:t>
            </w:r>
            <w:r>
              <w:rPr>
                <w:color w:val="auto"/>
                <w:sz w:val="24"/>
              </w:rPr>
              <w:t>。</w:t>
            </w:r>
          </w:p>
          <w:p>
            <w:pPr>
              <w:spacing w:line="360" w:lineRule="auto"/>
              <w:ind w:firstLine="472" w:firstLineChars="196"/>
              <w:rPr>
                <w:bCs/>
                <w:color w:val="auto"/>
                <w:sz w:val="24"/>
              </w:rPr>
            </w:pPr>
            <w:r>
              <w:rPr>
                <w:b/>
                <w:color w:val="auto"/>
                <w:sz w:val="24"/>
              </w:rPr>
              <w:t>粉煤灰：</w:t>
            </w:r>
            <w:r>
              <w:rPr>
                <w:bCs/>
                <w:color w:val="auto"/>
                <w:sz w:val="24"/>
              </w:rPr>
              <w:t>粉煤灰是从煤燃烧后的烟气中收捕下来的细灰，是燃煤电厂排出的主要固体废物。我国火电厂粉煤灰的主要氧化物组成为：SiO</w:t>
            </w:r>
            <w:r>
              <w:rPr>
                <w:bCs/>
                <w:color w:val="auto"/>
                <w:sz w:val="24"/>
                <w:vertAlign w:val="subscript"/>
              </w:rPr>
              <w:t>2</w:t>
            </w:r>
            <w:r>
              <w:rPr>
                <w:bCs/>
                <w:color w:val="auto"/>
                <w:sz w:val="24"/>
              </w:rPr>
              <w:t>、Al</w:t>
            </w:r>
            <w:r>
              <w:rPr>
                <w:bCs/>
                <w:color w:val="auto"/>
                <w:sz w:val="24"/>
                <w:vertAlign w:val="subscript"/>
              </w:rPr>
              <w:t>2</w:t>
            </w:r>
            <w:r>
              <w:rPr>
                <w:bCs/>
                <w:color w:val="auto"/>
                <w:sz w:val="24"/>
              </w:rPr>
              <w:t>O</w:t>
            </w:r>
            <w:r>
              <w:rPr>
                <w:bCs/>
                <w:color w:val="auto"/>
                <w:sz w:val="24"/>
                <w:vertAlign w:val="subscript"/>
              </w:rPr>
              <w:t>3</w:t>
            </w:r>
            <w:r>
              <w:rPr>
                <w:bCs/>
                <w:color w:val="auto"/>
                <w:sz w:val="24"/>
              </w:rPr>
              <w:t>、FeO、Fe</w:t>
            </w:r>
            <w:r>
              <w:rPr>
                <w:bCs/>
                <w:color w:val="auto"/>
                <w:sz w:val="24"/>
                <w:vertAlign w:val="subscript"/>
              </w:rPr>
              <w:t>2</w:t>
            </w:r>
            <w:r>
              <w:rPr>
                <w:bCs/>
                <w:color w:val="auto"/>
                <w:sz w:val="24"/>
              </w:rPr>
              <w:t>O</w:t>
            </w:r>
            <w:r>
              <w:rPr>
                <w:bCs/>
                <w:color w:val="auto"/>
                <w:sz w:val="24"/>
                <w:vertAlign w:val="subscript"/>
              </w:rPr>
              <w:t>3</w:t>
            </w:r>
            <w:r>
              <w:rPr>
                <w:bCs/>
                <w:color w:val="auto"/>
                <w:sz w:val="24"/>
              </w:rPr>
              <w:t>、CaO、TiO</w:t>
            </w:r>
            <w:r>
              <w:rPr>
                <w:bCs/>
                <w:color w:val="auto"/>
                <w:sz w:val="24"/>
                <w:vertAlign w:val="subscript"/>
              </w:rPr>
              <w:t xml:space="preserve">2 </w:t>
            </w:r>
            <w:r>
              <w:rPr>
                <w:bCs/>
                <w:color w:val="auto"/>
                <w:sz w:val="24"/>
              </w:rPr>
              <w:t>等，粉煤灰颗粒呈多孔型蜂窝状组织，比表面积较大，具有较高的吸附活性，颗粒的粒径范围为0.5~300μm。并且珠壁具有多孔结构，孔隙率高达50%—80%，有很强的吸水性。</w:t>
            </w:r>
          </w:p>
          <w:p>
            <w:pPr>
              <w:numPr>
                <w:ilvl w:val="0"/>
                <w:numId w:val="2"/>
              </w:numPr>
              <w:spacing w:line="360" w:lineRule="auto"/>
              <w:ind w:firstLine="482" w:firstLineChars="200"/>
              <w:rPr>
                <w:b/>
                <w:color w:val="auto"/>
                <w:sz w:val="24"/>
              </w:rPr>
            </w:pPr>
            <w:r>
              <w:rPr>
                <w:b/>
                <w:color w:val="auto"/>
                <w:sz w:val="24"/>
              </w:rPr>
              <w:t>劳动定员和生产时间</w:t>
            </w:r>
          </w:p>
          <w:p>
            <w:pPr>
              <w:spacing w:line="360" w:lineRule="auto"/>
              <w:ind w:firstLine="470" w:firstLineChars="196"/>
              <w:rPr>
                <w:bCs/>
                <w:color w:val="auto"/>
                <w:sz w:val="24"/>
              </w:rPr>
            </w:pPr>
            <w:r>
              <w:rPr>
                <w:bCs/>
                <w:color w:val="auto"/>
                <w:sz w:val="24"/>
              </w:rPr>
              <w:t>本项目劳动定员人数为42人，</w:t>
            </w:r>
            <w:r>
              <w:rPr>
                <w:rFonts w:hint="eastAsia"/>
                <w:bCs/>
                <w:color w:val="auto"/>
                <w:sz w:val="24"/>
              </w:rPr>
              <w:t>均不</w:t>
            </w:r>
            <w:r>
              <w:rPr>
                <w:bCs/>
                <w:color w:val="auto"/>
                <w:sz w:val="24"/>
              </w:rPr>
              <w:t>在厂内食宿。</w:t>
            </w:r>
            <w:r>
              <w:rPr>
                <w:rFonts w:hint="eastAsia"/>
                <w:bCs/>
                <w:color w:val="auto"/>
                <w:sz w:val="24"/>
              </w:rPr>
              <w:t>拟</w:t>
            </w:r>
            <w:r>
              <w:rPr>
                <w:bCs/>
                <w:color w:val="auto"/>
                <w:sz w:val="24"/>
              </w:rPr>
              <w:t>建机制砂生产线员工均在</w:t>
            </w:r>
            <w:r>
              <w:rPr>
                <w:rFonts w:hint="eastAsia"/>
                <w:bCs/>
                <w:color w:val="auto"/>
                <w:sz w:val="24"/>
              </w:rPr>
              <w:t>原</w:t>
            </w:r>
            <w:r>
              <w:rPr>
                <w:bCs/>
                <w:color w:val="auto"/>
                <w:sz w:val="24"/>
              </w:rPr>
              <w:t>项目内员工调配，不新增员工。</w:t>
            </w:r>
          </w:p>
          <w:p>
            <w:pPr>
              <w:spacing w:line="360" w:lineRule="auto"/>
              <w:ind w:firstLine="470" w:firstLineChars="196"/>
              <w:rPr>
                <w:bCs/>
                <w:color w:val="auto"/>
                <w:sz w:val="24"/>
              </w:rPr>
            </w:pPr>
            <w:r>
              <w:rPr>
                <w:bCs/>
                <w:color w:val="auto"/>
                <w:sz w:val="24"/>
              </w:rPr>
              <w:t>年生产时间为330天，</w:t>
            </w:r>
            <w:r>
              <w:rPr>
                <w:rFonts w:hint="eastAsia"/>
                <w:bCs/>
                <w:color w:val="auto"/>
                <w:sz w:val="24"/>
              </w:rPr>
              <w:t>二</w:t>
            </w:r>
            <w:r>
              <w:rPr>
                <w:bCs/>
                <w:color w:val="auto"/>
                <w:sz w:val="24"/>
              </w:rPr>
              <w:t>班制。</w:t>
            </w:r>
          </w:p>
          <w:p>
            <w:pPr>
              <w:spacing w:line="360" w:lineRule="auto"/>
              <w:ind w:firstLine="472" w:firstLineChars="196"/>
              <w:rPr>
                <w:b/>
                <w:bCs/>
                <w:color w:val="auto"/>
                <w:sz w:val="24"/>
              </w:rPr>
            </w:pPr>
            <w:r>
              <w:rPr>
                <w:b/>
                <w:bCs/>
                <w:color w:val="auto"/>
                <w:sz w:val="24"/>
              </w:rPr>
              <w:t>5、本项目资（能）源消耗量</w:t>
            </w:r>
          </w:p>
          <w:p>
            <w:pPr>
              <w:spacing w:line="360" w:lineRule="auto"/>
              <w:ind w:firstLine="472" w:firstLineChars="196"/>
              <w:rPr>
                <w:b/>
                <w:color w:val="auto"/>
                <w:sz w:val="24"/>
              </w:rPr>
            </w:pPr>
            <w:r>
              <w:rPr>
                <w:b/>
                <w:bCs/>
                <w:color w:val="auto"/>
                <w:sz w:val="24"/>
              </w:rPr>
              <w:t>（1）用电规模</w:t>
            </w:r>
          </w:p>
          <w:p>
            <w:pPr>
              <w:spacing w:line="360" w:lineRule="auto"/>
              <w:ind w:firstLine="480" w:firstLineChars="200"/>
              <w:rPr>
                <w:color w:val="auto"/>
                <w:sz w:val="24"/>
              </w:rPr>
            </w:pPr>
            <w:r>
              <w:rPr>
                <w:color w:val="auto"/>
                <w:sz w:val="24"/>
              </w:rPr>
              <w:t>建设单位供电由市政电网统一提供，本项目年用电量15万度</w:t>
            </w:r>
            <w:r>
              <w:rPr>
                <w:rFonts w:hint="eastAsia"/>
                <w:color w:val="auto"/>
                <w:sz w:val="24"/>
              </w:rPr>
              <w:t>。</w:t>
            </w:r>
          </w:p>
          <w:p>
            <w:pPr>
              <w:spacing w:line="360" w:lineRule="auto"/>
              <w:ind w:firstLine="482" w:firstLineChars="200"/>
              <w:rPr>
                <w:b/>
                <w:color w:val="auto"/>
                <w:sz w:val="24"/>
              </w:rPr>
            </w:pPr>
            <w:r>
              <w:rPr>
                <w:b/>
                <w:color w:val="auto"/>
                <w:sz w:val="24"/>
              </w:rPr>
              <w:t>（2）给排水</w:t>
            </w:r>
          </w:p>
          <w:p>
            <w:pPr>
              <w:pStyle w:val="99"/>
              <w:adjustRightInd/>
              <w:spacing w:line="355" w:lineRule="auto"/>
              <w:ind w:firstLine="480" w:firstLineChars="200"/>
              <w:rPr>
                <w:rFonts w:eastAsia="宋体"/>
                <w:color w:val="auto"/>
                <w:sz w:val="24"/>
              </w:rPr>
            </w:pPr>
            <w:r>
              <w:rPr>
                <w:rFonts w:eastAsia="宋体"/>
                <w:color w:val="auto"/>
                <w:sz w:val="24"/>
              </w:rPr>
              <w:t>给水：厂区新鲜用水主要为</w:t>
            </w:r>
            <w:r>
              <w:rPr>
                <w:rFonts w:eastAsia="宋体"/>
                <w:bCs/>
                <w:color w:val="auto"/>
                <w:sz w:val="24"/>
              </w:rPr>
              <w:t>员工生活用水、生产用水和设备清洗用水，</w:t>
            </w:r>
            <w:r>
              <w:rPr>
                <w:rFonts w:hint="eastAsia" w:eastAsia="宋体"/>
                <w:color w:val="auto"/>
                <w:sz w:val="24"/>
              </w:rPr>
              <w:t>项目用</w:t>
            </w:r>
            <w:r>
              <w:rPr>
                <w:rFonts w:eastAsia="宋体"/>
                <w:color w:val="auto"/>
                <w:sz w:val="24"/>
              </w:rPr>
              <w:t>水均</w:t>
            </w:r>
            <w:r>
              <w:rPr>
                <w:rFonts w:hint="eastAsia" w:eastAsia="宋体"/>
                <w:color w:val="auto"/>
                <w:sz w:val="24"/>
              </w:rPr>
              <w:t>采用</w:t>
            </w:r>
            <w:r>
              <w:rPr>
                <w:rFonts w:eastAsia="宋体"/>
                <w:color w:val="auto"/>
                <w:sz w:val="24"/>
              </w:rPr>
              <w:t>市政供水</w:t>
            </w:r>
            <w:r>
              <w:rPr>
                <w:rFonts w:hint="eastAsia" w:eastAsia="宋体"/>
                <w:color w:val="auto"/>
                <w:sz w:val="24"/>
              </w:rPr>
              <w:t>。</w:t>
            </w:r>
          </w:p>
          <w:p>
            <w:pPr>
              <w:pStyle w:val="99"/>
              <w:adjustRightInd/>
              <w:spacing w:line="355" w:lineRule="auto"/>
              <w:ind w:firstLine="480" w:firstLineChars="200"/>
              <w:rPr>
                <w:rFonts w:eastAsia="宋体"/>
                <w:bCs/>
                <w:color w:val="auto"/>
                <w:sz w:val="24"/>
              </w:rPr>
            </w:pPr>
            <w:r>
              <w:rPr>
                <w:rFonts w:eastAsia="宋体"/>
                <w:bCs/>
                <w:color w:val="auto"/>
                <w:sz w:val="24"/>
              </w:rPr>
              <w:t>本项目员工人数42人，</w:t>
            </w:r>
            <w:r>
              <w:rPr>
                <w:rFonts w:hint="eastAsia" w:eastAsia="宋体"/>
                <w:bCs/>
                <w:color w:val="auto"/>
                <w:sz w:val="24"/>
              </w:rPr>
              <w:t>均不</w:t>
            </w:r>
            <w:r>
              <w:rPr>
                <w:rFonts w:eastAsia="宋体"/>
                <w:bCs/>
                <w:color w:val="auto"/>
                <w:sz w:val="24"/>
              </w:rPr>
              <w:t>在厂区内食宿，生活用水量为</w:t>
            </w:r>
            <w:r>
              <w:rPr>
                <w:rFonts w:eastAsia="宋体"/>
                <w:color w:val="auto"/>
                <w:sz w:val="24"/>
              </w:rPr>
              <w:t>554.4m</w:t>
            </w:r>
            <w:r>
              <w:rPr>
                <w:rFonts w:eastAsia="宋体"/>
                <w:color w:val="auto"/>
                <w:sz w:val="24"/>
                <w:vertAlign w:val="superscript"/>
              </w:rPr>
              <w:t>3</w:t>
            </w:r>
            <w:r>
              <w:rPr>
                <w:rFonts w:eastAsia="宋体"/>
                <w:bCs/>
                <w:color w:val="auto"/>
                <w:sz w:val="24"/>
              </w:rPr>
              <w:t>/a。</w:t>
            </w:r>
          </w:p>
          <w:p>
            <w:pPr>
              <w:pStyle w:val="99"/>
              <w:adjustRightInd/>
              <w:spacing w:line="355" w:lineRule="auto"/>
              <w:ind w:firstLine="480" w:firstLineChars="200"/>
              <w:rPr>
                <w:rFonts w:eastAsia="宋体"/>
                <w:color w:val="auto"/>
                <w:sz w:val="24"/>
              </w:rPr>
            </w:pPr>
            <w:r>
              <w:rPr>
                <w:rFonts w:eastAsia="宋体"/>
                <w:bCs/>
                <w:color w:val="auto"/>
                <w:sz w:val="24"/>
              </w:rPr>
              <w:t>本项目生产用</w:t>
            </w:r>
            <w:r>
              <w:rPr>
                <w:rFonts w:eastAsia="宋体"/>
                <w:color w:val="auto"/>
                <w:sz w:val="24"/>
              </w:rPr>
              <w:t>水量为43797 m</w:t>
            </w:r>
            <w:r>
              <w:rPr>
                <w:rFonts w:eastAsia="宋体"/>
                <w:color w:val="auto"/>
                <w:sz w:val="24"/>
                <w:vertAlign w:val="superscript"/>
              </w:rPr>
              <w:t>3</w:t>
            </w:r>
            <w:r>
              <w:rPr>
                <w:rFonts w:eastAsia="宋体"/>
                <w:color w:val="auto"/>
                <w:sz w:val="24"/>
              </w:rPr>
              <w:t>/a ，其中清洗</w:t>
            </w:r>
            <w:r>
              <w:rPr>
                <w:rFonts w:hint="eastAsia" w:eastAsia="宋体"/>
                <w:color w:val="auto"/>
                <w:sz w:val="24"/>
              </w:rPr>
              <w:t>、</w:t>
            </w:r>
            <w:r>
              <w:rPr>
                <w:rFonts w:eastAsia="宋体"/>
                <w:color w:val="auto"/>
                <w:sz w:val="24"/>
              </w:rPr>
              <w:t>抑尘用水量7297m</w:t>
            </w:r>
            <w:r>
              <w:rPr>
                <w:rFonts w:eastAsia="宋体"/>
                <w:color w:val="auto"/>
                <w:sz w:val="24"/>
                <w:vertAlign w:val="superscript"/>
              </w:rPr>
              <w:t>3</w:t>
            </w:r>
            <w:r>
              <w:rPr>
                <w:rFonts w:eastAsia="宋体"/>
                <w:color w:val="auto"/>
                <w:sz w:val="24"/>
              </w:rPr>
              <w:t>/a，</w:t>
            </w:r>
            <w:r>
              <w:rPr>
                <w:rFonts w:hint="eastAsia" w:eastAsia="宋体"/>
                <w:color w:val="auto"/>
                <w:sz w:val="24"/>
              </w:rPr>
              <w:t>制</w:t>
            </w:r>
            <w:r>
              <w:rPr>
                <w:rFonts w:eastAsia="宋体"/>
                <w:color w:val="auto"/>
                <w:sz w:val="24"/>
              </w:rPr>
              <w:t>砂生产线生产用水1500m</w:t>
            </w:r>
            <w:r>
              <w:rPr>
                <w:rFonts w:eastAsia="宋体"/>
                <w:color w:val="auto"/>
                <w:sz w:val="24"/>
                <w:vertAlign w:val="superscript"/>
              </w:rPr>
              <w:t>3</w:t>
            </w:r>
            <w:r>
              <w:rPr>
                <w:rFonts w:eastAsia="宋体"/>
                <w:color w:val="auto"/>
                <w:sz w:val="24"/>
              </w:rPr>
              <w:t>/a，混凝土搅拌用水35000 m</w:t>
            </w:r>
            <w:r>
              <w:rPr>
                <w:rFonts w:eastAsia="宋体"/>
                <w:color w:val="auto"/>
                <w:sz w:val="24"/>
                <w:vertAlign w:val="superscript"/>
              </w:rPr>
              <w:t>3</w:t>
            </w:r>
            <w:r>
              <w:rPr>
                <w:rFonts w:eastAsia="宋体"/>
                <w:color w:val="auto"/>
                <w:sz w:val="24"/>
              </w:rPr>
              <w:t>/a。</w:t>
            </w:r>
            <w:r>
              <w:rPr>
                <w:rFonts w:hint="eastAsia" w:eastAsia="宋体"/>
                <w:color w:val="auto"/>
                <w:sz w:val="24"/>
              </w:rPr>
              <w:t>（生产</w:t>
            </w:r>
            <w:r>
              <w:rPr>
                <w:rFonts w:eastAsia="宋体"/>
                <w:color w:val="auto"/>
                <w:sz w:val="24"/>
              </w:rPr>
              <w:t>用水</w:t>
            </w:r>
            <w:r>
              <w:rPr>
                <w:rFonts w:hint="eastAsia" w:eastAsia="宋体"/>
                <w:color w:val="auto"/>
                <w:sz w:val="24"/>
              </w:rPr>
              <w:t>中新鲜用水量为</w:t>
            </w:r>
            <w:r>
              <w:rPr>
                <w:rFonts w:eastAsia="宋体"/>
                <w:color w:val="auto"/>
                <w:sz w:val="24"/>
              </w:rPr>
              <w:t>38579.7</w:t>
            </w:r>
            <w:r>
              <w:rPr>
                <w:rFonts w:hint="eastAsia" w:eastAsia="宋体"/>
                <w:color w:val="auto"/>
                <w:sz w:val="24"/>
              </w:rPr>
              <w:t>m3/a、循环用水量为</w:t>
            </w:r>
            <w:r>
              <w:rPr>
                <w:rFonts w:eastAsia="宋体"/>
                <w:color w:val="auto"/>
                <w:sz w:val="24"/>
              </w:rPr>
              <w:t>5217.3</w:t>
            </w:r>
            <w:r>
              <w:rPr>
                <w:rFonts w:hint="eastAsia" w:eastAsia="宋体"/>
                <w:color w:val="auto"/>
                <w:sz w:val="24"/>
              </w:rPr>
              <w:t>m</w:t>
            </w:r>
            <w:r>
              <w:rPr>
                <w:rFonts w:hint="eastAsia" w:eastAsia="宋体"/>
                <w:color w:val="auto"/>
                <w:sz w:val="24"/>
                <w:vertAlign w:val="superscript"/>
              </w:rPr>
              <w:t>3</w:t>
            </w:r>
            <w:r>
              <w:rPr>
                <w:rFonts w:hint="eastAsia" w:eastAsia="宋体"/>
                <w:color w:val="auto"/>
                <w:sz w:val="24"/>
              </w:rPr>
              <w:t>/a）</w:t>
            </w:r>
          </w:p>
          <w:p>
            <w:pPr>
              <w:pStyle w:val="99"/>
              <w:adjustRightInd/>
              <w:spacing w:line="355" w:lineRule="auto"/>
              <w:ind w:firstLine="480" w:firstLineChars="200"/>
              <w:rPr>
                <w:rFonts w:eastAsia="宋体"/>
                <w:color w:val="auto"/>
                <w:sz w:val="24"/>
              </w:rPr>
            </w:pPr>
            <w:r>
              <w:rPr>
                <w:rFonts w:eastAsia="宋体"/>
                <w:color w:val="auto"/>
                <w:sz w:val="24"/>
              </w:rPr>
              <w:t>排水：厂区实行雨污分流。雨水通过厂区雨水管道排入雨水管网。项目生活污水排水量为499t/a。本项目</w:t>
            </w:r>
            <w:r>
              <w:rPr>
                <w:rFonts w:hint="eastAsia" w:eastAsia="宋体"/>
                <w:color w:val="auto"/>
                <w:sz w:val="24"/>
              </w:rPr>
              <w:t>生活</w:t>
            </w:r>
            <w:r>
              <w:rPr>
                <w:rFonts w:eastAsia="宋体"/>
                <w:color w:val="auto"/>
                <w:sz w:val="24"/>
              </w:rPr>
              <w:t>污水经</w:t>
            </w:r>
            <w:r>
              <w:rPr>
                <w:rFonts w:hint="eastAsia" w:eastAsia="宋体"/>
                <w:color w:val="auto"/>
                <w:sz w:val="24"/>
              </w:rPr>
              <w:t>地埋</w:t>
            </w:r>
            <w:r>
              <w:rPr>
                <w:rFonts w:eastAsia="宋体"/>
                <w:color w:val="auto"/>
                <w:sz w:val="24"/>
              </w:rPr>
              <w:t>式一</w:t>
            </w:r>
            <w:r>
              <w:rPr>
                <w:rFonts w:hint="eastAsia" w:eastAsia="宋体"/>
                <w:color w:val="auto"/>
                <w:sz w:val="24"/>
              </w:rPr>
              <w:t>体</w:t>
            </w:r>
            <w:r>
              <w:rPr>
                <w:rFonts w:eastAsia="宋体"/>
                <w:color w:val="auto"/>
                <w:sz w:val="24"/>
              </w:rPr>
              <w:t>化污水处理设施处理后达到</w:t>
            </w:r>
            <w:r>
              <w:rPr>
                <w:rFonts w:hint="eastAsia" w:eastAsia="宋体"/>
                <w:color w:val="auto"/>
                <w:sz w:val="24"/>
              </w:rPr>
              <w:t>《城市污水再生利用</w:t>
            </w:r>
            <w:r>
              <w:rPr>
                <w:rFonts w:eastAsia="宋体"/>
                <w:color w:val="auto"/>
                <w:sz w:val="24"/>
              </w:rPr>
              <w:t> </w:t>
            </w:r>
            <w:r>
              <w:rPr>
                <w:rFonts w:hint="eastAsia" w:eastAsia="宋体"/>
                <w:color w:val="auto"/>
                <w:sz w:val="24"/>
              </w:rPr>
              <w:t>城市杂用水水质》（</w:t>
            </w:r>
            <w:r>
              <w:rPr>
                <w:rFonts w:eastAsia="宋体"/>
                <w:color w:val="auto"/>
                <w:sz w:val="24"/>
              </w:rPr>
              <w:t>GB/T18920-2002</w:t>
            </w:r>
            <w:r>
              <w:rPr>
                <w:rFonts w:hint="eastAsia" w:eastAsia="宋体"/>
                <w:color w:val="auto"/>
                <w:sz w:val="24"/>
              </w:rPr>
              <w:t>）中绿化用水标准要求后回用于厂区绿化灌溉</w:t>
            </w:r>
            <w:r>
              <w:rPr>
                <w:rFonts w:eastAsia="宋体"/>
                <w:color w:val="auto"/>
                <w:sz w:val="24"/>
              </w:rPr>
              <w:t>，不外排。</w:t>
            </w:r>
          </w:p>
          <w:p>
            <w:pPr>
              <w:pStyle w:val="99"/>
              <w:numPr>
                <w:ilvl w:val="0"/>
                <w:numId w:val="3"/>
              </w:numPr>
              <w:adjustRightInd/>
              <w:spacing w:line="355" w:lineRule="auto"/>
              <w:rPr>
                <w:rFonts w:eastAsia="宋体"/>
                <w:b/>
                <w:bCs/>
                <w:color w:val="auto"/>
                <w:sz w:val="24"/>
              </w:rPr>
            </w:pPr>
            <w:r>
              <w:rPr>
                <w:rFonts w:hint="eastAsia" w:eastAsia="宋体"/>
                <w:b/>
                <w:bCs/>
                <w:color w:val="auto"/>
                <w:sz w:val="24"/>
              </w:rPr>
              <w:t>项目施工计划</w:t>
            </w:r>
          </w:p>
          <w:p>
            <w:pPr>
              <w:pStyle w:val="99"/>
              <w:adjustRightInd/>
              <w:spacing w:line="355" w:lineRule="auto"/>
              <w:ind w:left="-53" w:leftChars="-25" w:firstLine="480" w:firstLineChars="200"/>
              <w:jc w:val="left"/>
              <w:rPr>
                <w:rFonts w:eastAsia="宋体"/>
                <w:color w:val="auto"/>
                <w:sz w:val="24"/>
              </w:rPr>
            </w:pPr>
            <w:r>
              <w:rPr>
                <w:rFonts w:hint="eastAsia" w:eastAsia="宋体"/>
                <w:color w:val="auto"/>
                <w:sz w:val="24"/>
              </w:rPr>
              <w:t>项目商品</w:t>
            </w:r>
            <w:r>
              <w:rPr>
                <w:rFonts w:eastAsia="宋体"/>
                <w:color w:val="auto"/>
                <w:sz w:val="24"/>
              </w:rPr>
              <w:t>混凝土</w:t>
            </w:r>
            <w:r>
              <w:rPr>
                <w:rFonts w:hint="eastAsia" w:eastAsia="宋体"/>
                <w:color w:val="auto"/>
                <w:sz w:val="24"/>
              </w:rPr>
              <w:t>建设</w:t>
            </w:r>
            <w:r>
              <w:rPr>
                <w:rFonts w:eastAsia="宋体"/>
                <w:color w:val="auto"/>
                <w:sz w:val="24"/>
              </w:rPr>
              <w:t>项目已于</w:t>
            </w:r>
            <w:r>
              <w:rPr>
                <w:rFonts w:hint="eastAsia" w:eastAsia="宋体"/>
                <w:color w:val="auto"/>
                <w:sz w:val="24"/>
              </w:rPr>
              <w:t>2</w:t>
            </w:r>
            <w:r>
              <w:rPr>
                <w:rFonts w:eastAsia="宋体"/>
                <w:color w:val="auto"/>
                <w:sz w:val="24"/>
              </w:rPr>
              <w:t>017</w:t>
            </w:r>
            <w:r>
              <w:rPr>
                <w:rFonts w:hint="eastAsia" w:eastAsia="宋体"/>
                <w:color w:val="auto"/>
                <w:sz w:val="24"/>
              </w:rPr>
              <w:t>年11月建成，机</w:t>
            </w:r>
            <w:r>
              <w:rPr>
                <w:rFonts w:eastAsia="宋体"/>
                <w:color w:val="auto"/>
                <w:sz w:val="24"/>
              </w:rPr>
              <w:t>制砂建设项目拟于</w:t>
            </w:r>
            <w:r>
              <w:rPr>
                <w:rFonts w:hint="eastAsia" w:eastAsia="宋体"/>
                <w:color w:val="auto"/>
                <w:sz w:val="24"/>
              </w:rPr>
              <w:t>20</w:t>
            </w:r>
            <w:r>
              <w:rPr>
                <w:rFonts w:eastAsia="宋体"/>
                <w:color w:val="auto"/>
                <w:sz w:val="24"/>
              </w:rPr>
              <w:t>20</w:t>
            </w:r>
            <w:r>
              <w:rPr>
                <w:rFonts w:hint="eastAsia" w:eastAsia="宋体"/>
                <w:color w:val="auto"/>
                <w:sz w:val="24"/>
              </w:rPr>
              <w:t>年</w:t>
            </w:r>
            <w:r>
              <w:rPr>
                <w:rFonts w:eastAsia="宋体"/>
                <w:color w:val="auto"/>
                <w:sz w:val="24"/>
              </w:rPr>
              <w:t>10</w:t>
            </w:r>
            <w:r>
              <w:rPr>
                <w:rFonts w:hint="eastAsia" w:eastAsia="宋体"/>
                <w:color w:val="auto"/>
                <w:sz w:val="24"/>
              </w:rPr>
              <w:t>月</w:t>
            </w:r>
            <w:r>
              <w:rPr>
                <w:rFonts w:eastAsia="宋体"/>
                <w:color w:val="auto"/>
                <w:sz w:val="24"/>
              </w:rPr>
              <w:t>开始进行安装，</w:t>
            </w:r>
            <w:r>
              <w:rPr>
                <w:rFonts w:hint="eastAsia" w:eastAsia="宋体"/>
                <w:color w:val="auto"/>
                <w:sz w:val="24"/>
              </w:rPr>
              <w:t>20</w:t>
            </w:r>
            <w:r>
              <w:rPr>
                <w:rFonts w:eastAsia="宋体"/>
                <w:color w:val="auto"/>
                <w:sz w:val="24"/>
              </w:rPr>
              <w:t>20</w:t>
            </w:r>
            <w:r>
              <w:rPr>
                <w:rFonts w:hint="eastAsia" w:eastAsia="宋体"/>
                <w:color w:val="auto"/>
                <w:sz w:val="24"/>
              </w:rPr>
              <w:t>年1</w:t>
            </w:r>
            <w:r>
              <w:rPr>
                <w:rFonts w:eastAsia="宋体"/>
                <w:color w:val="auto"/>
                <w:sz w:val="24"/>
              </w:rPr>
              <w:t>2</w:t>
            </w:r>
            <w:r>
              <w:rPr>
                <w:rFonts w:hint="eastAsia" w:eastAsia="宋体"/>
                <w:color w:val="auto"/>
                <w:sz w:val="24"/>
              </w:rPr>
              <w:t>月开始投产。</w:t>
            </w:r>
          </w:p>
          <w:p>
            <w:pPr>
              <w:spacing w:line="355" w:lineRule="auto"/>
              <w:rPr>
                <w:b/>
                <w:bCs/>
                <w:color w:val="auto"/>
                <w:sz w:val="24"/>
              </w:rPr>
            </w:pPr>
            <w:r>
              <w:rPr>
                <w:b/>
                <w:bCs/>
                <w:color w:val="auto"/>
                <w:sz w:val="24"/>
              </w:rPr>
              <w:t>二、项目的地理位置情况及平面布置合理性分析</w:t>
            </w:r>
          </w:p>
          <w:p>
            <w:pPr>
              <w:pStyle w:val="99"/>
              <w:adjustRightInd/>
              <w:spacing w:line="355" w:lineRule="auto"/>
              <w:ind w:firstLine="480" w:firstLineChars="200"/>
              <w:rPr>
                <w:rFonts w:eastAsia="宋体"/>
                <w:color w:val="auto"/>
                <w:sz w:val="24"/>
              </w:rPr>
            </w:pPr>
            <w:r>
              <w:rPr>
                <w:rFonts w:eastAsia="宋体"/>
                <w:color w:val="auto"/>
                <w:sz w:val="24"/>
                <w:lang w:val="zh-CN"/>
              </w:rPr>
              <w:t>项目所在位置为</w:t>
            </w:r>
            <w:r>
              <w:rPr>
                <w:rFonts w:hint="eastAsia" w:eastAsia="宋体"/>
                <w:color w:val="auto"/>
                <w:sz w:val="24"/>
              </w:rPr>
              <w:t>普宁市军埠镇大长陇工业区荣祥</w:t>
            </w:r>
            <w:r>
              <w:rPr>
                <w:rFonts w:eastAsia="宋体"/>
                <w:color w:val="auto"/>
                <w:sz w:val="24"/>
              </w:rPr>
              <w:t>楼</w:t>
            </w:r>
            <w:r>
              <w:rPr>
                <w:rFonts w:eastAsia="宋体"/>
                <w:color w:val="auto"/>
                <w:sz w:val="24"/>
                <w:lang w:val="zh-CN"/>
              </w:rPr>
              <w:t>，</w:t>
            </w:r>
            <w:r>
              <w:rPr>
                <w:rFonts w:eastAsia="宋体"/>
                <w:color w:val="auto"/>
                <w:sz w:val="24"/>
              </w:rPr>
              <w:t>其中心地理坐标为：</w:t>
            </w:r>
            <w:r>
              <w:rPr>
                <w:rFonts w:hint="eastAsia" w:eastAsia="宋体"/>
                <w:color w:val="auto"/>
                <w:sz w:val="24"/>
              </w:rPr>
              <w:t>N23.249935°、E116.281566°</w:t>
            </w:r>
            <w:r>
              <w:rPr>
                <w:rFonts w:eastAsia="宋体"/>
                <w:color w:val="auto"/>
                <w:sz w:val="24"/>
              </w:rPr>
              <w:t>。项目地理位置图详见附图一。根据现场踏勘，</w:t>
            </w:r>
            <w:r>
              <w:rPr>
                <w:rFonts w:hint="eastAsia" w:eastAsia="宋体"/>
                <w:bCs/>
                <w:color w:val="auto"/>
                <w:sz w:val="24"/>
              </w:rPr>
              <w:t>项目东</w:t>
            </w:r>
            <w:r>
              <w:rPr>
                <w:rFonts w:eastAsia="宋体"/>
                <w:bCs/>
                <w:color w:val="auto"/>
                <w:sz w:val="24"/>
              </w:rPr>
              <w:t>侧</w:t>
            </w:r>
            <w:r>
              <w:rPr>
                <w:rFonts w:hint="eastAsia" w:eastAsia="宋体"/>
                <w:bCs/>
                <w:color w:val="auto"/>
                <w:sz w:val="24"/>
              </w:rPr>
              <w:t>及西</w:t>
            </w:r>
            <w:r>
              <w:rPr>
                <w:rFonts w:eastAsia="宋体"/>
                <w:bCs/>
                <w:color w:val="auto"/>
                <w:sz w:val="24"/>
              </w:rPr>
              <w:t>侧</w:t>
            </w:r>
            <w:r>
              <w:rPr>
                <w:rFonts w:hint="eastAsia" w:eastAsia="宋体"/>
                <w:bCs/>
                <w:color w:val="auto"/>
                <w:sz w:val="24"/>
              </w:rPr>
              <w:t>均</w:t>
            </w:r>
            <w:r>
              <w:rPr>
                <w:rFonts w:eastAsia="宋体"/>
                <w:bCs/>
                <w:color w:val="auto"/>
                <w:sz w:val="24"/>
              </w:rPr>
              <w:t>为</w:t>
            </w:r>
            <w:r>
              <w:rPr>
                <w:rFonts w:hint="eastAsia" w:eastAsia="宋体"/>
                <w:bCs/>
                <w:color w:val="auto"/>
                <w:sz w:val="24"/>
              </w:rPr>
              <w:t>荒</w:t>
            </w:r>
            <w:r>
              <w:rPr>
                <w:rFonts w:eastAsia="宋体"/>
                <w:bCs/>
                <w:color w:val="auto"/>
                <w:sz w:val="24"/>
              </w:rPr>
              <w:t>地，</w:t>
            </w:r>
            <w:r>
              <w:rPr>
                <w:rFonts w:hint="eastAsia" w:eastAsia="宋体"/>
                <w:bCs/>
                <w:color w:val="auto"/>
                <w:sz w:val="24"/>
              </w:rPr>
              <w:t>北面隔</w:t>
            </w:r>
            <w:r>
              <w:rPr>
                <w:rFonts w:eastAsia="宋体"/>
                <w:bCs/>
                <w:color w:val="auto"/>
                <w:sz w:val="24"/>
              </w:rPr>
              <w:t>空地为普宁大道，</w:t>
            </w:r>
            <w:r>
              <w:rPr>
                <w:rFonts w:hint="eastAsia" w:eastAsia="宋体"/>
                <w:bCs/>
                <w:color w:val="auto"/>
                <w:sz w:val="24"/>
              </w:rPr>
              <w:t>南侧为乡道</w:t>
            </w:r>
            <w:r>
              <w:rPr>
                <w:rFonts w:eastAsia="宋体"/>
                <w:color w:val="auto"/>
                <w:sz w:val="24"/>
              </w:rPr>
              <w:t>。</w:t>
            </w:r>
          </w:p>
          <w:p>
            <w:pPr>
              <w:pStyle w:val="99"/>
              <w:adjustRightInd/>
              <w:spacing w:line="355" w:lineRule="auto"/>
              <w:ind w:firstLine="480" w:firstLineChars="200"/>
              <w:rPr>
                <w:rFonts w:eastAsia="宋体"/>
                <w:color w:val="auto"/>
                <w:sz w:val="24"/>
              </w:rPr>
            </w:pPr>
            <w:r>
              <w:rPr>
                <w:rFonts w:eastAsia="宋体"/>
                <w:color w:val="auto"/>
                <w:sz w:val="24"/>
              </w:rPr>
              <w:t>根据项目的平面布置情况，项目主要生产设备及配套设施均设置于厂区中间，堆料场位于项目</w:t>
            </w:r>
            <w:r>
              <w:rPr>
                <w:rFonts w:hint="eastAsia" w:eastAsia="宋体"/>
                <w:color w:val="auto"/>
                <w:sz w:val="24"/>
              </w:rPr>
              <w:t>东</w:t>
            </w:r>
            <w:r>
              <w:rPr>
                <w:rFonts w:eastAsia="宋体"/>
                <w:color w:val="auto"/>
                <w:sz w:val="24"/>
              </w:rPr>
              <w:t>侧，生活办公区位于厂区</w:t>
            </w:r>
            <w:r>
              <w:rPr>
                <w:rFonts w:hint="eastAsia" w:eastAsia="宋体"/>
                <w:color w:val="auto"/>
                <w:sz w:val="24"/>
              </w:rPr>
              <w:t>西南</w:t>
            </w:r>
            <w:r>
              <w:rPr>
                <w:rFonts w:eastAsia="宋体"/>
                <w:color w:val="auto"/>
                <w:sz w:val="24"/>
              </w:rPr>
              <w:t>侧</w:t>
            </w:r>
            <w:r>
              <w:rPr>
                <w:rFonts w:hint="eastAsia" w:eastAsia="宋体"/>
                <w:color w:val="auto"/>
                <w:sz w:val="24"/>
              </w:rPr>
              <w:t>，</w:t>
            </w:r>
            <w:r>
              <w:rPr>
                <w:rFonts w:eastAsia="宋体"/>
                <w:color w:val="auto"/>
                <w:sz w:val="24"/>
              </w:rPr>
              <w:t>实验室位于厂区</w:t>
            </w:r>
            <w:r>
              <w:rPr>
                <w:rFonts w:hint="eastAsia" w:eastAsia="宋体"/>
                <w:color w:val="auto"/>
                <w:sz w:val="24"/>
              </w:rPr>
              <w:t>入口处，废水处理回用池、砂石分离机集中布置，形成整套废水处理回用系统</w:t>
            </w:r>
            <w:r>
              <w:rPr>
                <w:rFonts w:eastAsia="宋体"/>
                <w:color w:val="auto"/>
                <w:sz w:val="24"/>
              </w:rPr>
              <w:t>。主要生产设备位于厂区中部，可使物流通畅，建筑物间留出必要的间距和通道，符合防火、卫生、安全要求，堆料场靠近项目</w:t>
            </w:r>
            <w:r>
              <w:rPr>
                <w:rFonts w:hint="eastAsia" w:eastAsia="宋体"/>
                <w:color w:val="auto"/>
                <w:sz w:val="24"/>
              </w:rPr>
              <w:t>东</w:t>
            </w:r>
            <w:r>
              <w:rPr>
                <w:rFonts w:eastAsia="宋体"/>
                <w:color w:val="auto"/>
                <w:sz w:val="24"/>
              </w:rPr>
              <w:t>侧</w:t>
            </w:r>
            <w:r>
              <w:rPr>
                <w:rFonts w:hint="eastAsia" w:eastAsia="宋体"/>
                <w:color w:val="auto"/>
                <w:sz w:val="24"/>
              </w:rPr>
              <w:t>荒</w:t>
            </w:r>
            <w:r>
              <w:rPr>
                <w:rFonts w:eastAsia="宋体"/>
                <w:color w:val="auto"/>
                <w:sz w:val="24"/>
              </w:rPr>
              <w:t>地，</w:t>
            </w:r>
            <w:r>
              <w:rPr>
                <w:rFonts w:hint="eastAsia" w:eastAsia="宋体"/>
                <w:color w:val="auto"/>
                <w:sz w:val="24"/>
              </w:rPr>
              <w:t>设置有围挡防止粉尘外逸，</w:t>
            </w:r>
            <w:r>
              <w:rPr>
                <w:rFonts w:eastAsia="宋体"/>
                <w:color w:val="auto"/>
                <w:sz w:val="24"/>
              </w:rPr>
              <w:t>符合环保要求。项目总平面布置详见附图四。</w:t>
            </w:r>
          </w:p>
          <w:p>
            <w:pPr>
              <w:spacing w:line="360" w:lineRule="auto"/>
              <w:ind w:firstLine="482" w:firstLineChars="200"/>
              <w:rPr>
                <w:b/>
                <w:bCs/>
                <w:color w:val="auto"/>
                <w:sz w:val="24"/>
              </w:rPr>
            </w:pPr>
            <w:r>
              <w:rPr>
                <w:b/>
                <w:bCs/>
                <w:color w:val="auto"/>
                <w:sz w:val="24"/>
              </w:rPr>
              <w:t>三、项目产业政策符合性</w:t>
            </w:r>
          </w:p>
          <w:p>
            <w:pPr>
              <w:spacing w:line="360" w:lineRule="auto"/>
              <w:ind w:firstLine="480" w:firstLineChars="200"/>
              <w:rPr>
                <w:bCs/>
                <w:color w:val="auto"/>
                <w:sz w:val="24"/>
              </w:rPr>
            </w:pPr>
            <w:r>
              <w:rPr>
                <w:bCs/>
                <w:color w:val="auto"/>
                <w:sz w:val="24"/>
              </w:rPr>
              <w:t>本项目主要从事商品混凝土及机制砂的生产。不属于《产业结构调整指导目录(2019年本)》中的鼓励类、限制类和淘汰类，应为允许类。可见，本项目的建设符合国家及广东省的产业政策。</w:t>
            </w:r>
          </w:p>
          <w:p>
            <w:pPr>
              <w:spacing w:line="360" w:lineRule="auto"/>
              <w:ind w:firstLine="482" w:firstLineChars="200"/>
              <w:rPr>
                <w:b/>
                <w:bCs/>
                <w:color w:val="auto"/>
                <w:sz w:val="24"/>
              </w:rPr>
            </w:pPr>
            <w:r>
              <w:rPr>
                <w:rFonts w:hint="eastAsia"/>
                <w:b/>
                <w:bCs/>
                <w:color w:val="auto"/>
                <w:sz w:val="24"/>
              </w:rPr>
              <w:t>四、项目与《练江流域水环境综合整治方案（2014～2020年）》的相符性</w:t>
            </w:r>
          </w:p>
          <w:p>
            <w:pPr>
              <w:pStyle w:val="99"/>
              <w:adjustRightInd/>
              <w:spacing w:line="355" w:lineRule="auto"/>
              <w:ind w:firstLine="480" w:firstLineChars="200"/>
              <w:rPr>
                <w:rFonts w:eastAsia="宋体"/>
                <w:color w:val="auto"/>
                <w:sz w:val="24"/>
              </w:rPr>
            </w:pPr>
            <w:r>
              <w:rPr>
                <w:rFonts w:hint="eastAsia" w:eastAsia="宋体"/>
                <w:color w:val="auto"/>
                <w:sz w:val="24"/>
              </w:rPr>
              <w:t>练江流域水环境综合整治方案指出“实施更严格的流域限批，除入园项目外，禁止新建扩建印染、制浆、造纸、电镀、鞣革、线路板、化工、冶炼、发酵酿造和畜禽养殖等水污染行业，暂停审批电氧化、食品加工和截污管网外的洗车、餐饮、沐足桑拿等耗水性项目、生产过程中含酸洗、磷化、表面处理等工艺的项目和其他排放在练江已超标污染物的项目”，本项目不属于上述所指限制、禁止类项目，因此本项目《练江流域水环境综合整治方案（2014～2020年）》相符。</w:t>
            </w:r>
          </w:p>
          <w:p>
            <w:pPr>
              <w:spacing w:line="360" w:lineRule="auto"/>
              <w:ind w:firstLine="482" w:firstLineChars="200"/>
              <w:rPr>
                <w:b/>
                <w:bCs/>
                <w:color w:val="auto"/>
                <w:sz w:val="24"/>
              </w:rPr>
            </w:pPr>
            <w:r>
              <w:rPr>
                <w:rFonts w:hint="eastAsia"/>
                <w:b/>
                <w:bCs/>
                <w:color w:val="auto"/>
                <w:sz w:val="24"/>
              </w:rPr>
              <w:t>五</w:t>
            </w:r>
            <w:r>
              <w:rPr>
                <w:b/>
                <w:bCs/>
                <w:color w:val="auto"/>
                <w:sz w:val="24"/>
              </w:rPr>
              <w:t>、</w:t>
            </w:r>
            <w:r>
              <w:rPr>
                <w:rFonts w:hint="eastAsia"/>
                <w:b/>
                <w:bCs/>
                <w:color w:val="auto"/>
                <w:sz w:val="24"/>
              </w:rPr>
              <w:t>《揭阳市扬尘污染防治条例》的相符性</w:t>
            </w:r>
          </w:p>
          <w:p>
            <w:pPr>
              <w:pStyle w:val="99"/>
              <w:adjustRightInd/>
              <w:spacing w:line="355" w:lineRule="auto"/>
              <w:ind w:firstLine="480" w:firstLineChars="200"/>
              <w:rPr>
                <w:rFonts w:eastAsia="宋体"/>
                <w:color w:val="auto"/>
                <w:sz w:val="24"/>
              </w:rPr>
            </w:pPr>
            <w:r>
              <w:rPr>
                <w:rFonts w:hint="eastAsia" w:eastAsia="宋体"/>
                <w:color w:val="auto"/>
                <w:sz w:val="24"/>
              </w:rPr>
              <w:t>《揭阳市扬尘污染防治条例》要求</w:t>
            </w:r>
            <w:r>
              <w:rPr>
                <w:rFonts w:eastAsia="宋体"/>
                <w:color w:val="auto"/>
                <w:sz w:val="24"/>
              </w:rPr>
              <w:t>：</w:t>
            </w:r>
            <w:r>
              <w:rPr>
                <w:rFonts w:hint="eastAsia" w:eastAsia="宋体"/>
                <w:color w:val="auto"/>
                <w:sz w:val="24"/>
              </w:rPr>
              <w:t>混凝土搅拌站物料堆放场应当采取建设密闭或者半密闭罩棚、挡风墙等永久性防尘措施，场外临时堆存的砂子、石子应当采用防尘网或者防尘布覆盖；装卸物料的操作区域应当设置喷淋装置，罐车应当安装防止水泥浆撒漏的接料装置；混凝土搅拌站出口及场区地面应当进行硬化处理，并加强清扫、洒水。出口应当设置车辆专用冲洗设施，确保车辆不带泥沙，净车上路。本项目物料堆放场拟采取三面围挡和顶棚、自动洒水装置，罐车全部安装有防止水泥浆撒漏的接料装置，搅拌站出口及场区地面均进行硬化处理，</w:t>
            </w:r>
            <w:r>
              <w:rPr>
                <w:rFonts w:eastAsia="宋体"/>
                <w:color w:val="auto"/>
                <w:sz w:val="24"/>
              </w:rPr>
              <w:t>严格落实</w:t>
            </w:r>
            <w:r>
              <w:rPr>
                <w:rFonts w:hint="eastAsia" w:eastAsia="宋体"/>
                <w:color w:val="auto"/>
                <w:sz w:val="24"/>
              </w:rPr>
              <w:t>《揭阳市扬尘污染防治条例》对混凝土搅拌站的</w:t>
            </w:r>
            <w:r>
              <w:rPr>
                <w:rFonts w:eastAsia="宋体"/>
                <w:color w:val="auto"/>
                <w:sz w:val="24"/>
              </w:rPr>
              <w:t>相关要求。</w:t>
            </w:r>
          </w:p>
          <w:p>
            <w:pPr>
              <w:pStyle w:val="162"/>
              <w:ind w:firstLine="482"/>
              <w:rPr>
                <w:color w:val="auto"/>
              </w:rPr>
            </w:pPr>
            <w:r>
              <w:rPr>
                <w:rFonts w:hint="eastAsia"/>
                <w:b/>
                <w:bCs w:val="0"/>
                <w:color w:val="auto"/>
              </w:rPr>
              <w:t>六</w:t>
            </w:r>
            <w:r>
              <w:rPr>
                <w:b/>
                <w:bCs w:val="0"/>
                <w:color w:val="auto"/>
              </w:rPr>
              <w:t>、</w:t>
            </w:r>
            <w:r>
              <w:rPr>
                <w:rFonts w:hint="eastAsia"/>
                <w:b/>
                <w:bCs w:val="0"/>
                <w:color w:val="auto"/>
              </w:rPr>
              <w:t>与《</w:t>
            </w:r>
            <w:r>
              <w:rPr>
                <w:b/>
                <w:bCs w:val="0"/>
                <w:color w:val="auto"/>
              </w:rPr>
              <w:t>普宁市练江流域建设项目准入指引</w:t>
            </w:r>
            <w:r>
              <w:rPr>
                <w:rFonts w:hint="eastAsia"/>
                <w:b/>
                <w:bCs w:val="0"/>
                <w:color w:val="auto"/>
              </w:rPr>
              <w:t>》相符性</w:t>
            </w:r>
          </w:p>
          <w:p>
            <w:pPr>
              <w:pStyle w:val="162"/>
              <w:rPr>
                <w:color w:val="auto"/>
              </w:rPr>
            </w:pPr>
            <w:r>
              <w:rPr>
                <w:rFonts w:hint="eastAsia"/>
                <w:color w:val="auto"/>
              </w:rPr>
              <w:t>《</w:t>
            </w:r>
            <w:r>
              <w:rPr>
                <w:color w:val="auto"/>
              </w:rPr>
              <w:t>普宁市练江流域建设项目准入指引</w:t>
            </w:r>
            <w:r>
              <w:rPr>
                <w:rFonts w:hint="eastAsia"/>
                <w:color w:val="auto"/>
              </w:rPr>
              <w:t>》提出：“（一）</w:t>
            </w:r>
            <w:r>
              <w:rPr>
                <w:rFonts w:hint="eastAsia"/>
                <w:b/>
                <w:color w:val="auto"/>
              </w:rPr>
              <w:t>禁止建设类项目</w:t>
            </w:r>
            <w:r>
              <w:rPr>
                <w:rFonts w:hint="eastAsia"/>
                <w:color w:val="auto"/>
              </w:rPr>
              <w:t>。除入园项目外，禁止新建、扩建印染、制浆、造纸、电镀、鞣革、线路板、化工、冶炼、发酵酿造、畜禽养殖和危险废物综合利用和处置等水污染行业。”“（二）</w:t>
            </w:r>
            <w:r>
              <w:rPr>
                <w:rFonts w:hint="eastAsia"/>
                <w:b/>
                <w:color w:val="auto"/>
              </w:rPr>
              <w:t>暂停审批类项目</w:t>
            </w:r>
            <w:r>
              <w:rPr>
                <w:rFonts w:hint="eastAsia"/>
                <w:color w:val="auto"/>
              </w:rPr>
              <w:t>。在未按省的规定实现相应的水质目标前，暂停审批除电氧化、食品加工和截污管网外的洗车、餐饮、沐足桑拿等耗水性项目，生产过程中含酸洗、磷化、表面处理等工艺的项目和其他排放在练江已超标污染物的项目。”“（三）</w:t>
            </w:r>
            <w:r>
              <w:rPr>
                <w:rFonts w:hint="eastAsia"/>
                <w:b/>
                <w:color w:val="auto"/>
              </w:rPr>
              <w:t>严格限制类项目</w:t>
            </w:r>
            <w:r>
              <w:rPr>
                <w:rFonts w:hint="eastAsia"/>
                <w:color w:val="auto"/>
              </w:rPr>
              <w:t>。严格限制水污染型、耗水型和劳动密集型的产业项目。”：“（四）</w:t>
            </w:r>
            <w:r>
              <w:rPr>
                <w:rFonts w:hint="eastAsia"/>
                <w:b/>
                <w:color w:val="auto"/>
              </w:rPr>
              <w:t>鼓励引进类项目</w:t>
            </w:r>
            <w:r>
              <w:rPr>
                <w:rFonts w:hint="eastAsia"/>
                <w:color w:val="auto"/>
              </w:rPr>
              <w:t>。积极鼓励和大力引进符合产业政策、土地利用规划和环保要求的，科技含量高、资源消耗低、环境污染少的高新技术产业项目。”</w:t>
            </w:r>
          </w:p>
          <w:p>
            <w:pPr>
              <w:pStyle w:val="162"/>
              <w:rPr>
                <w:color w:val="auto"/>
              </w:rPr>
            </w:pPr>
            <w:r>
              <w:rPr>
                <w:rFonts w:hint="eastAsia"/>
                <w:color w:val="auto"/>
              </w:rPr>
              <w:t>本项目位于普宁市军埠镇大长陇工业区荣祥</w:t>
            </w:r>
            <w:r>
              <w:rPr>
                <w:color w:val="auto"/>
              </w:rPr>
              <w:t>楼</w:t>
            </w:r>
            <w:r>
              <w:rPr>
                <w:rFonts w:hint="eastAsia"/>
                <w:color w:val="auto"/>
              </w:rPr>
              <w:t>，为混凝土搅拌站项目，符合产业政策、土地利用规划和环保要求，且项目生产内容不属于禁止建设类、暂停审批类、严格限制类项目，综上所述，本项目符合《</w:t>
            </w:r>
            <w:r>
              <w:rPr>
                <w:color w:val="auto"/>
              </w:rPr>
              <w:t>普宁市练江流域建设项目准入指引</w:t>
            </w:r>
            <w:r>
              <w:rPr>
                <w:rFonts w:hint="eastAsia"/>
                <w:color w:val="auto"/>
              </w:rPr>
              <w:t>》的相关要求。</w:t>
            </w:r>
          </w:p>
          <w:p>
            <w:pPr>
              <w:pStyle w:val="162"/>
              <w:ind w:firstLine="482"/>
              <w:rPr>
                <w:b/>
                <w:bCs w:val="0"/>
                <w:color w:val="auto"/>
              </w:rPr>
            </w:pPr>
            <w:r>
              <w:rPr>
                <w:rFonts w:hint="eastAsia"/>
                <w:b/>
                <w:bCs w:val="0"/>
                <w:color w:val="auto"/>
              </w:rPr>
              <w:t>七</w:t>
            </w:r>
            <w:r>
              <w:rPr>
                <w:b/>
                <w:bCs w:val="0"/>
                <w:color w:val="auto"/>
              </w:rPr>
              <w:t>、</w:t>
            </w:r>
            <w:r>
              <w:rPr>
                <w:rFonts w:hint="eastAsia"/>
                <w:b/>
                <w:bCs w:val="0"/>
                <w:color w:val="auto"/>
              </w:rPr>
              <w:t>与《揭阳市重点流域水环境保护条例》相符性分析</w:t>
            </w:r>
          </w:p>
          <w:p>
            <w:pPr>
              <w:pStyle w:val="162"/>
              <w:rPr>
                <w:color w:val="auto"/>
              </w:rPr>
            </w:pPr>
            <w:r>
              <w:rPr>
                <w:rFonts w:hint="eastAsia"/>
                <w:color w:val="auto"/>
              </w:rPr>
              <w:t>《揭阳市重点流域水环境保护条例》（2019年1月16日广东省第十三届人民代表大会常务委员会第九次会议通过）提出：“禁止新建不符合国家产业政策的小型造纸、制革、印染、染料、炼焦、炼硫、炼砷、炼汞、炼油、电镀、农药、石棉、水泥、玻璃、钢铁、火电以及其他严重污染水环境的生产项目。”；“重点流域供水通道岸线一公里范围内禁止建设印染、电镀、酸洗、冶炼、重化工、化学制浆、有色金属等重污染项目；干流沿岸严格控制印染、五金、冶炼、石油加工、化学原料和化学制品制造、医药制造、化学纤维制造、有色金属等重污染项目。”</w:t>
            </w:r>
          </w:p>
          <w:p>
            <w:pPr>
              <w:pStyle w:val="162"/>
              <w:rPr>
                <w:color w:val="auto"/>
              </w:rPr>
            </w:pPr>
            <w:r>
              <w:rPr>
                <w:rFonts w:hint="eastAsia"/>
                <w:color w:val="auto"/>
              </w:rPr>
              <w:t>本项目为混凝土搅拌站项目，生产工艺和技术装备不属于《产业结构调整指导目录（201</w:t>
            </w:r>
            <w:r>
              <w:rPr>
                <w:color w:val="auto"/>
              </w:rPr>
              <w:t>9</w:t>
            </w:r>
            <w:r>
              <w:rPr>
                <w:rFonts w:hint="eastAsia"/>
                <w:color w:val="auto"/>
              </w:rPr>
              <w:t>年本）》中“限制类”、“淘汰类”以及“落后产品”之列，符合国家相关产业政策的规定，且本项目产生的生产废水不外排。综上所述，本项目基本符合《揭阳市重点流域水环境保护条例》的要求。</w:t>
            </w:r>
          </w:p>
          <w:p>
            <w:pPr>
              <w:pStyle w:val="162"/>
              <w:ind w:firstLine="482"/>
              <w:rPr>
                <w:b/>
                <w:bCs w:val="0"/>
                <w:color w:val="auto"/>
              </w:rPr>
            </w:pPr>
            <w:r>
              <w:rPr>
                <w:rFonts w:hint="eastAsia"/>
                <w:b/>
                <w:bCs w:val="0"/>
                <w:color w:val="auto"/>
              </w:rPr>
              <w:t>八</w:t>
            </w:r>
            <w:r>
              <w:rPr>
                <w:b/>
                <w:bCs w:val="0"/>
                <w:color w:val="auto"/>
              </w:rPr>
              <w:t>、</w:t>
            </w:r>
            <w:r>
              <w:rPr>
                <w:rFonts w:hint="eastAsia"/>
                <w:b/>
                <w:bCs w:val="0"/>
                <w:color w:val="auto"/>
              </w:rPr>
              <w:t>《广东省节约用水办法》</w:t>
            </w:r>
          </w:p>
          <w:p>
            <w:pPr>
              <w:pStyle w:val="162"/>
              <w:rPr>
                <w:color w:val="auto"/>
              </w:rPr>
            </w:pPr>
            <w:r>
              <w:rPr>
                <w:rFonts w:hint="eastAsia"/>
                <w:color w:val="auto"/>
              </w:rPr>
              <w:t>本项目不属重点用水单位，且</w:t>
            </w:r>
            <w:r>
              <w:rPr>
                <w:color w:val="auto"/>
              </w:rPr>
              <w:t>生产过程能实现废水全部回用</w:t>
            </w:r>
            <w:r>
              <w:rPr>
                <w:rFonts w:hint="eastAsia"/>
                <w:color w:val="auto"/>
              </w:rPr>
              <w:t>，不属高耗水的工业和服务业项目。因此</w:t>
            </w:r>
            <w:r>
              <w:rPr>
                <w:color w:val="auto"/>
              </w:rPr>
              <w:t>，符合</w:t>
            </w:r>
            <w:r>
              <w:rPr>
                <w:rFonts w:hint="eastAsia"/>
                <w:color w:val="auto"/>
              </w:rPr>
              <w:t>《广东省节约用水办法》的</w:t>
            </w:r>
            <w:r>
              <w:rPr>
                <w:color w:val="auto"/>
              </w:rPr>
              <w:t>相关要求</w:t>
            </w:r>
            <w:r>
              <w:rPr>
                <w:rFonts w:hint="eastAsia"/>
                <w:color w:val="auto"/>
              </w:rPr>
              <w:t>。</w:t>
            </w:r>
          </w:p>
          <w:p>
            <w:pPr>
              <w:pStyle w:val="162"/>
              <w:ind w:firstLine="482"/>
              <w:rPr>
                <w:b/>
                <w:color w:val="auto"/>
              </w:rPr>
            </w:pPr>
            <w:r>
              <w:rPr>
                <w:rFonts w:hint="eastAsia"/>
                <w:b/>
                <w:color w:val="auto"/>
              </w:rPr>
              <w:t>九</w:t>
            </w:r>
            <w:r>
              <w:rPr>
                <w:b/>
                <w:color w:val="auto"/>
              </w:rPr>
              <w:t>、</w:t>
            </w:r>
            <w:r>
              <w:rPr>
                <w:rFonts w:hint="eastAsia"/>
                <w:b/>
                <w:color w:val="auto"/>
              </w:rPr>
              <w:t>与《揭阳市练江流域水质达标方案（2017-2020年）》相符性分析</w:t>
            </w:r>
          </w:p>
          <w:p>
            <w:pPr>
              <w:pStyle w:val="162"/>
              <w:rPr>
                <w:color w:val="auto"/>
              </w:rPr>
            </w:pPr>
            <w:r>
              <w:rPr>
                <w:rFonts w:hint="eastAsia"/>
                <w:color w:val="auto"/>
              </w:rPr>
              <w:t>根据《揭阳市练江流域水质达标方案（2017-2020年）》的内容：实施更严格的流域限批，除入园项目外，禁止新建扩建印染、制浆、造纸、电镀、鞣革、线路板、化工、冶炼、发酵酿造和畜禽养殖等水污染行业，暂停审批电氧化、食品加工和截污管网外的洗车、餐饮、沐足桑拿等耗水性项目、生产过程中含酸洗、磷化、表面处理等工艺的项目和其他排放在练江已超标污染物的项目。</w:t>
            </w:r>
          </w:p>
          <w:p>
            <w:pPr>
              <w:pStyle w:val="162"/>
              <w:rPr>
                <w:color w:val="auto"/>
              </w:rPr>
            </w:pPr>
            <w:r>
              <w:rPr>
                <w:color w:val="auto"/>
              </w:rPr>
              <w:t>本项目位于</w:t>
            </w:r>
            <w:r>
              <w:rPr>
                <w:rFonts w:hint="eastAsia"/>
                <w:color w:val="auto"/>
              </w:rPr>
              <w:t>普宁市大长</w:t>
            </w:r>
            <w:r>
              <w:rPr>
                <w:color w:val="auto"/>
              </w:rPr>
              <w:t>陇工业区，</w:t>
            </w:r>
            <w:r>
              <w:rPr>
                <w:rFonts w:hint="eastAsia"/>
                <w:color w:val="auto"/>
              </w:rPr>
              <w:t>为商品</w:t>
            </w:r>
            <w:r>
              <w:rPr>
                <w:color w:val="auto"/>
              </w:rPr>
              <w:t>混凝土</w:t>
            </w:r>
            <w:r>
              <w:rPr>
                <w:rFonts w:hint="eastAsia"/>
                <w:color w:val="auto"/>
              </w:rPr>
              <w:t>生产</w:t>
            </w:r>
            <w:r>
              <w:rPr>
                <w:color w:val="auto"/>
              </w:rPr>
              <w:t>项目，</w:t>
            </w:r>
            <w:r>
              <w:rPr>
                <w:rFonts w:hint="eastAsia"/>
                <w:color w:val="auto"/>
              </w:rPr>
              <w:t>项目生产废水经处理后回用于</w:t>
            </w:r>
            <w:r>
              <w:rPr>
                <w:color w:val="auto"/>
              </w:rPr>
              <w:t>生产</w:t>
            </w:r>
            <w:r>
              <w:rPr>
                <w:rFonts w:hint="eastAsia"/>
                <w:color w:val="auto"/>
              </w:rPr>
              <w:t>，生活污水经处理后作为农田</w:t>
            </w:r>
            <w:r>
              <w:rPr>
                <w:color w:val="auto"/>
              </w:rPr>
              <w:t>灌溉用水</w:t>
            </w:r>
            <w:r>
              <w:rPr>
                <w:rFonts w:hint="eastAsia"/>
                <w:color w:val="auto"/>
              </w:rPr>
              <w:t>，不外排。项目生</w:t>
            </w:r>
            <w:r>
              <w:rPr>
                <w:color w:val="auto"/>
              </w:rPr>
              <w:t>产过程产生粉尘废气经处理后达标排放。</w:t>
            </w:r>
            <w:r>
              <w:rPr>
                <w:rFonts w:hint="eastAsia"/>
                <w:color w:val="auto"/>
              </w:rPr>
              <w:t>综上所述，本项目符合《揭阳市练江流域水质达标方案（2017-2020年）》的相关要求。</w:t>
            </w:r>
          </w:p>
          <w:p>
            <w:pPr>
              <w:spacing w:line="360" w:lineRule="auto"/>
              <w:ind w:firstLine="482" w:firstLineChars="200"/>
              <w:rPr>
                <w:b/>
                <w:bCs/>
                <w:color w:val="auto"/>
                <w:sz w:val="24"/>
              </w:rPr>
            </w:pPr>
            <w:r>
              <w:rPr>
                <w:rFonts w:hint="eastAsia"/>
                <w:b/>
                <w:bCs/>
                <w:color w:val="auto"/>
                <w:sz w:val="24"/>
              </w:rPr>
              <w:t>九</w:t>
            </w:r>
            <w:r>
              <w:rPr>
                <w:b/>
                <w:bCs/>
                <w:color w:val="auto"/>
                <w:sz w:val="24"/>
              </w:rPr>
              <w:t>、项目选址可行性</w:t>
            </w:r>
          </w:p>
          <w:p>
            <w:pPr>
              <w:snapToGrid w:val="0"/>
              <w:spacing w:line="360" w:lineRule="auto"/>
              <w:ind w:firstLine="480" w:firstLineChars="200"/>
              <w:jc w:val="left"/>
              <w:rPr>
                <w:color w:val="auto"/>
                <w:sz w:val="24"/>
              </w:rPr>
            </w:pPr>
            <w:r>
              <w:rPr>
                <w:bCs/>
                <w:color w:val="auto"/>
                <w:sz w:val="24"/>
              </w:rPr>
              <w:t>本项</w:t>
            </w:r>
            <w:r>
              <w:rPr>
                <w:color w:val="auto"/>
                <w:sz w:val="24"/>
                <w:szCs w:val="20"/>
              </w:rPr>
              <w:t>目位于</w:t>
            </w:r>
            <w:r>
              <w:rPr>
                <w:rFonts w:hint="eastAsia"/>
                <w:color w:val="auto"/>
                <w:sz w:val="24"/>
                <w:szCs w:val="20"/>
              </w:rPr>
              <w:t>普宁市军埠镇大长陇工业区</w:t>
            </w:r>
            <w:r>
              <w:rPr>
                <w:rFonts w:hint="eastAsia"/>
                <w:color w:val="auto"/>
                <w:sz w:val="24"/>
              </w:rPr>
              <w:t>荣祥</w:t>
            </w:r>
            <w:r>
              <w:rPr>
                <w:color w:val="auto"/>
                <w:sz w:val="24"/>
              </w:rPr>
              <w:t>楼</w:t>
            </w:r>
            <w:r>
              <w:rPr>
                <w:color w:val="auto"/>
                <w:sz w:val="24"/>
                <w:szCs w:val="20"/>
              </w:rPr>
              <w:t>，根据</w:t>
            </w:r>
            <w:r>
              <w:rPr>
                <w:color w:val="auto"/>
                <w:sz w:val="24"/>
              </w:rPr>
              <w:t>《普宁市土地利用总体规划（2010～2020）》</w:t>
            </w:r>
            <w:r>
              <w:rPr>
                <w:rFonts w:hint="eastAsia"/>
                <w:color w:val="auto"/>
                <w:sz w:val="24"/>
              </w:rPr>
              <w:t>和</w:t>
            </w:r>
            <w:r>
              <w:rPr>
                <w:rFonts w:hint="eastAsia"/>
                <w:color w:val="auto"/>
                <w:sz w:val="24"/>
                <w:szCs w:val="20"/>
              </w:rPr>
              <w:t>《普宁市军埠镇土地总体利用规划图》</w:t>
            </w:r>
            <w:r>
              <w:rPr>
                <w:color w:val="auto"/>
                <w:sz w:val="24"/>
                <w:szCs w:val="20"/>
              </w:rPr>
              <w:t>，项目</w:t>
            </w:r>
            <w:r>
              <w:rPr>
                <w:rFonts w:hint="eastAsia"/>
                <w:color w:val="auto"/>
                <w:sz w:val="24"/>
                <w:szCs w:val="20"/>
              </w:rPr>
              <w:t>占地</w:t>
            </w:r>
            <w:r>
              <w:rPr>
                <w:color w:val="auto"/>
                <w:sz w:val="24"/>
                <w:szCs w:val="20"/>
              </w:rPr>
              <w:t>不涉及基本农田</w:t>
            </w:r>
            <w:r>
              <w:rPr>
                <w:rFonts w:hint="eastAsia"/>
                <w:color w:val="auto"/>
                <w:sz w:val="24"/>
                <w:szCs w:val="20"/>
              </w:rPr>
              <w:t>和</w:t>
            </w:r>
            <w:r>
              <w:rPr>
                <w:color w:val="auto"/>
                <w:sz w:val="24"/>
                <w:szCs w:val="20"/>
              </w:rPr>
              <w:t>自然保护区</w:t>
            </w:r>
            <w:r>
              <w:rPr>
                <w:rFonts w:hint="eastAsia"/>
                <w:color w:val="auto"/>
                <w:sz w:val="24"/>
                <w:szCs w:val="20"/>
              </w:rPr>
              <w:t>，</w:t>
            </w:r>
            <w:r>
              <w:rPr>
                <w:color w:val="auto"/>
                <w:sz w:val="24"/>
                <w:szCs w:val="20"/>
              </w:rPr>
              <w:t>属</w:t>
            </w:r>
            <w:r>
              <w:rPr>
                <w:rFonts w:hint="eastAsia"/>
                <w:color w:val="auto"/>
                <w:sz w:val="24"/>
                <w:szCs w:val="20"/>
              </w:rPr>
              <w:t>村镇</w:t>
            </w:r>
            <w:r>
              <w:rPr>
                <w:color w:val="auto"/>
                <w:sz w:val="24"/>
                <w:szCs w:val="20"/>
              </w:rPr>
              <w:t>建设用地</w:t>
            </w:r>
            <w:r>
              <w:rPr>
                <w:rFonts w:hint="eastAsia"/>
                <w:color w:val="auto"/>
                <w:sz w:val="24"/>
                <w:szCs w:val="20"/>
              </w:rPr>
              <w:t>，项目选址符合《普宁市土地总体利用规划（2010～2020）》</w:t>
            </w:r>
            <w:r>
              <w:rPr>
                <w:rFonts w:hint="eastAsia"/>
                <w:color w:val="auto"/>
                <w:sz w:val="24"/>
              </w:rPr>
              <w:t>（</w:t>
            </w:r>
            <w:r>
              <w:rPr>
                <w:color w:val="auto"/>
                <w:sz w:val="24"/>
              </w:rPr>
              <w:t>详见附图</w:t>
            </w:r>
            <w:r>
              <w:rPr>
                <w:rFonts w:hint="eastAsia"/>
                <w:color w:val="auto"/>
                <w:sz w:val="24"/>
              </w:rPr>
              <w:t>5）。</w:t>
            </w:r>
          </w:p>
          <w:p>
            <w:pPr>
              <w:snapToGrid w:val="0"/>
              <w:spacing w:line="360" w:lineRule="auto"/>
              <w:ind w:firstLine="480" w:firstLineChars="200"/>
              <w:jc w:val="left"/>
              <w:rPr>
                <w:color w:val="auto"/>
                <w:sz w:val="24"/>
              </w:rPr>
            </w:pPr>
            <w:r>
              <w:rPr>
                <w:rFonts w:hint="eastAsia"/>
                <w:color w:val="auto"/>
                <w:sz w:val="24"/>
              </w:rPr>
              <w:t>根据</w:t>
            </w:r>
            <w:r>
              <w:rPr>
                <w:color w:val="auto"/>
                <w:sz w:val="24"/>
              </w:rPr>
              <w:t>《</w:t>
            </w:r>
            <w:r>
              <w:rPr>
                <w:rFonts w:hint="eastAsia"/>
                <w:color w:val="auto"/>
                <w:sz w:val="24"/>
              </w:rPr>
              <w:t>普</w:t>
            </w:r>
            <w:r>
              <w:rPr>
                <w:color w:val="auto"/>
                <w:sz w:val="24"/>
              </w:rPr>
              <w:t>宁市军埠镇总体规划</w:t>
            </w:r>
            <w:r>
              <w:rPr>
                <w:rFonts w:hint="eastAsia"/>
                <w:color w:val="auto"/>
                <w:sz w:val="24"/>
              </w:rPr>
              <w:t>（2016-2035）</w:t>
            </w:r>
            <w:r>
              <w:rPr>
                <w:color w:val="auto"/>
                <w:sz w:val="24"/>
              </w:rPr>
              <w:t>》</w:t>
            </w:r>
            <w:r>
              <w:rPr>
                <w:rFonts w:hint="eastAsia"/>
                <w:color w:val="auto"/>
                <w:sz w:val="24"/>
              </w:rPr>
              <w:t>，</w:t>
            </w:r>
            <w:r>
              <w:rPr>
                <w:color w:val="auto"/>
                <w:sz w:val="24"/>
              </w:rPr>
              <w:t>项目所在地为</w:t>
            </w:r>
            <w:r>
              <w:rPr>
                <w:rFonts w:hint="eastAsia"/>
                <w:color w:val="auto"/>
                <w:sz w:val="24"/>
              </w:rPr>
              <w:t>村</w:t>
            </w:r>
            <w:r>
              <w:rPr>
                <w:color w:val="auto"/>
                <w:sz w:val="24"/>
              </w:rPr>
              <w:t>庄建设用地，</w:t>
            </w:r>
            <w:r>
              <w:rPr>
                <w:rFonts w:hint="eastAsia"/>
                <w:color w:val="auto"/>
                <w:sz w:val="24"/>
              </w:rPr>
              <w:t>项目所在地不涉及自然保护区、风景名胜区及文物保护区等区域，周边均为空地或服装厂，详</w:t>
            </w:r>
            <w:r>
              <w:rPr>
                <w:color w:val="auto"/>
                <w:sz w:val="24"/>
              </w:rPr>
              <w:t>见附图</w:t>
            </w:r>
            <w:r>
              <w:rPr>
                <w:rFonts w:hint="eastAsia"/>
                <w:color w:val="auto"/>
                <w:sz w:val="24"/>
              </w:rPr>
              <w:t>2、附图6；根据普宁市军埠</w:t>
            </w:r>
            <w:r>
              <w:rPr>
                <w:color w:val="auto"/>
                <w:sz w:val="24"/>
              </w:rPr>
              <w:t>镇</w:t>
            </w:r>
            <w:r>
              <w:rPr>
                <w:rFonts w:hint="eastAsia"/>
                <w:color w:val="auto"/>
                <w:sz w:val="24"/>
              </w:rPr>
              <w:t>出具的选址证明，本项目符合军埠</w:t>
            </w:r>
            <w:r>
              <w:rPr>
                <w:color w:val="auto"/>
                <w:sz w:val="24"/>
              </w:rPr>
              <w:t>镇总体规划</w:t>
            </w:r>
            <w:r>
              <w:rPr>
                <w:rFonts w:hint="eastAsia"/>
                <w:color w:val="auto"/>
                <w:sz w:val="24"/>
              </w:rPr>
              <w:t>，详见附件5。</w:t>
            </w:r>
          </w:p>
          <w:p>
            <w:pPr>
              <w:snapToGrid w:val="0"/>
              <w:spacing w:line="360" w:lineRule="auto"/>
              <w:ind w:firstLine="480" w:firstLineChars="200"/>
              <w:jc w:val="left"/>
              <w:rPr>
                <w:color w:val="auto"/>
                <w:sz w:val="24"/>
              </w:rPr>
            </w:pPr>
            <w:r>
              <w:rPr>
                <w:rFonts w:hint="eastAsia"/>
                <w:bCs/>
                <w:color w:val="auto"/>
                <w:sz w:val="24"/>
              </w:rPr>
              <w:t>根据普宁市城乡住房和建设局出具的选址意见书（详见附件</w:t>
            </w:r>
            <w:r>
              <w:rPr>
                <w:bCs/>
                <w:color w:val="auto"/>
                <w:sz w:val="24"/>
              </w:rPr>
              <w:t>4</w:t>
            </w:r>
            <w:r>
              <w:rPr>
                <w:rFonts w:hint="eastAsia"/>
                <w:bCs/>
                <w:color w:val="auto"/>
                <w:sz w:val="24"/>
              </w:rPr>
              <w:t>），本项目符合普宁市搅</w:t>
            </w:r>
            <w:r>
              <w:rPr>
                <w:rFonts w:hint="eastAsia"/>
                <w:color w:val="auto"/>
                <w:sz w:val="24"/>
              </w:rPr>
              <w:t>拌站布点规划。</w:t>
            </w:r>
          </w:p>
          <w:p>
            <w:pPr>
              <w:snapToGrid w:val="0"/>
              <w:spacing w:line="360" w:lineRule="auto"/>
              <w:ind w:firstLine="480" w:firstLineChars="200"/>
              <w:jc w:val="left"/>
              <w:rPr>
                <w:bCs/>
                <w:color w:val="auto"/>
                <w:sz w:val="24"/>
              </w:rPr>
            </w:pPr>
            <w:r>
              <w:rPr>
                <w:color w:val="auto"/>
                <w:sz w:val="24"/>
              </w:rPr>
              <w:t>本项目建设地不在饮用水源保护区和生态严</w:t>
            </w:r>
            <w:r>
              <w:rPr>
                <w:bCs/>
                <w:color w:val="auto"/>
                <w:sz w:val="24"/>
              </w:rPr>
              <w:t>格控制区内，</w:t>
            </w:r>
            <w:r>
              <w:rPr>
                <w:rFonts w:hint="eastAsia"/>
                <w:bCs/>
                <w:color w:val="auto"/>
                <w:sz w:val="24"/>
              </w:rPr>
              <w:t>项目东侧及西侧均为荒地，北面隔空地为普宁大道，南侧为隔乡道为服装厂。</w:t>
            </w:r>
            <w:r>
              <w:rPr>
                <w:bCs/>
                <w:color w:val="auto"/>
                <w:sz w:val="24"/>
              </w:rPr>
              <w:t>厂区地势基本平坦，项目选址条件良好。本项目周围环境空气质量、声环境、水环境质量良好，项目投入使用后对环境影响主要为废气、废水、噪声级、固体废物，通过采取本报告中相关有效措施后，对环境影响不大。项目建设地各项基础条件较好、经济运行形势良好，项目建设地点与厂区用地环境功能相容，综合来看，项目选址合理，选址可行。</w:t>
            </w:r>
          </w:p>
          <w:p>
            <w:pPr>
              <w:pStyle w:val="2"/>
              <w:snapToGrid w:val="0"/>
              <w:spacing w:line="360" w:lineRule="auto"/>
              <w:ind w:firstLine="482"/>
              <w:rPr>
                <w:b/>
                <w:bCs/>
                <w:color w:val="auto"/>
                <w:sz w:val="24"/>
              </w:rPr>
            </w:pPr>
            <w:r>
              <w:rPr>
                <w:rFonts w:hint="eastAsia"/>
                <w:b/>
                <w:bCs/>
                <w:color w:val="auto"/>
                <w:sz w:val="24"/>
              </w:rPr>
              <w:t>十</w:t>
            </w:r>
            <w:r>
              <w:rPr>
                <w:b/>
                <w:bCs/>
                <w:color w:val="auto"/>
                <w:sz w:val="24"/>
              </w:rPr>
              <w:t>、</w:t>
            </w:r>
            <w:r>
              <w:rPr>
                <w:rFonts w:hint="eastAsia"/>
                <w:b/>
                <w:bCs/>
                <w:color w:val="auto"/>
                <w:sz w:val="24"/>
              </w:rPr>
              <w:t>与三线一单的</w:t>
            </w:r>
            <w:r>
              <w:rPr>
                <w:b/>
                <w:bCs/>
                <w:color w:val="auto"/>
                <w:sz w:val="24"/>
              </w:rPr>
              <w:t>相符性</w:t>
            </w:r>
          </w:p>
          <w:p>
            <w:pPr>
              <w:snapToGrid w:val="0"/>
              <w:spacing w:line="360" w:lineRule="auto"/>
              <w:ind w:firstLine="480" w:firstLineChars="200"/>
              <w:jc w:val="left"/>
              <w:rPr>
                <w:color w:val="auto"/>
                <w:sz w:val="24"/>
              </w:rPr>
            </w:pPr>
            <w:r>
              <w:rPr>
                <w:rFonts w:hint="eastAsia"/>
                <w:color w:val="auto"/>
                <w:sz w:val="24"/>
              </w:rPr>
              <w:t>根据环境保护部印发的《“十三五”环境影响评价改革实施方案》，“三线一单”是以改善环境质量为核心，将生态保护红线、环境质量底线、资源利用上线落实到不同的环境管控单元，并建立环境准入负面清单的环境分区管控体系。“三线一单”是推动生态环境保护管理系统化、科学化、法治化、精细化、信息化的重要抓手，是推进战略和规划环评落地、环境保护参与空间规划和优化国土空间格局的基础支撑，是实施环境空间管控、强化源头预防和过程监管的重要手段。以下是本项目与“三线一单”的相符性分析：</w:t>
            </w:r>
          </w:p>
          <w:p>
            <w:pPr>
              <w:snapToGrid w:val="0"/>
              <w:spacing w:line="360" w:lineRule="auto"/>
              <w:ind w:firstLine="480" w:firstLineChars="200"/>
              <w:jc w:val="left"/>
              <w:rPr>
                <w:color w:val="auto"/>
                <w:sz w:val="24"/>
              </w:rPr>
            </w:pPr>
            <w:r>
              <w:rPr>
                <w:rFonts w:hint="eastAsia"/>
                <w:color w:val="auto"/>
                <w:sz w:val="24"/>
              </w:rPr>
              <w:t>（1）生态保护红线：本项目位于</w:t>
            </w:r>
            <w:r>
              <w:rPr>
                <w:rFonts w:hint="eastAsia"/>
                <w:color w:val="auto"/>
                <w:sz w:val="24"/>
                <w:szCs w:val="20"/>
              </w:rPr>
              <w:t>普宁市军埠镇大长陇工业区</w:t>
            </w:r>
            <w:r>
              <w:rPr>
                <w:rFonts w:hint="eastAsia"/>
                <w:color w:val="auto"/>
                <w:sz w:val="24"/>
              </w:rPr>
              <w:t>。查阅《揭阳市环境保护规划（2007-2020年》），本项目所在地不属于生态严格控制区（见附图4），因此，项目的建设符合生态保护红线要求。</w:t>
            </w:r>
          </w:p>
          <w:p>
            <w:pPr>
              <w:snapToGrid w:val="0"/>
              <w:spacing w:line="360" w:lineRule="auto"/>
              <w:ind w:firstLine="480" w:firstLineChars="200"/>
              <w:jc w:val="left"/>
              <w:rPr>
                <w:color w:val="auto"/>
                <w:sz w:val="24"/>
              </w:rPr>
            </w:pPr>
            <w:r>
              <w:rPr>
                <w:rFonts w:hint="eastAsia"/>
                <w:color w:val="auto"/>
                <w:sz w:val="24"/>
              </w:rPr>
              <w:t>（2）资源利用上线：项目营运过程中消耗一定量的电源、水资源等资源消耗，项目资源消耗量相对区域资源利用总量较少，且</w:t>
            </w:r>
            <w:r>
              <w:rPr>
                <w:color w:val="auto"/>
                <w:sz w:val="24"/>
              </w:rPr>
              <w:t>废水经处理后全部回用，</w:t>
            </w:r>
            <w:r>
              <w:rPr>
                <w:rFonts w:hint="eastAsia"/>
                <w:color w:val="auto"/>
                <w:sz w:val="24"/>
              </w:rPr>
              <w:t>符合资源利用上线要求。</w:t>
            </w:r>
          </w:p>
          <w:p>
            <w:pPr>
              <w:snapToGrid w:val="0"/>
              <w:spacing w:line="360" w:lineRule="auto"/>
              <w:ind w:firstLine="480" w:firstLineChars="200"/>
              <w:jc w:val="left"/>
              <w:rPr>
                <w:color w:val="auto"/>
                <w:sz w:val="24"/>
              </w:rPr>
            </w:pPr>
            <w:r>
              <w:rPr>
                <w:rFonts w:hint="eastAsia"/>
                <w:color w:val="auto"/>
                <w:sz w:val="24"/>
              </w:rPr>
              <w:t>（3）环境质量底线：本项目大气环境现状能满足《环境空气质量标准》（GB3095-2012）及2018年修改单二级标准和声环境现状能满足《声环境质量标准》（GB3096-2008）中的2类标准。项目附近水体练江</w:t>
            </w:r>
            <w:r>
              <w:rPr>
                <w:color w:val="auto"/>
                <w:sz w:val="24"/>
              </w:rPr>
              <w:t>支流</w:t>
            </w:r>
            <w:r>
              <w:rPr>
                <w:rFonts w:hint="eastAsia"/>
                <w:color w:val="auto"/>
                <w:sz w:val="24"/>
              </w:rPr>
              <w:t>现状水质属于劣Ⅴ类水，属于重度污染。由于本项目生产废水</w:t>
            </w:r>
            <w:r>
              <w:rPr>
                <w:color w:val="auto"/>
                <w:sz w:val="24"/>
              </w:rPr>
              <w:t>全部回用不外排</w:t>
            </w:r>
            <w:r>
              <w:rPr>
                <w:rFonts w:hint="eastAsia"/>
                <w:color w:val="auto"/>
                <w:sz w:val="24"/>
              </w:rPr>
              <w:t>，生活污水经处理</w:t>
            </w:r>
            <w:r>
              <w:rPr>
                <w:color w:val="auto"/>
                <w:sz w:val="24"/>
              </w:rPr>
              <w:t>后用于站内绿化</w:t>
            </w:r>
            <w:r>
              <w:rPr>
                <w:rFonts w:hint="eastAsia"/>
                <w:color w:val="auto"/>
                <w:sz w:val="24"/>
              </w:rPr>
              <w:t>，项目总体符合环境质量底线要求。</w:t>
            </w:r>
          </w:p>
          <w:p>
            <w:pPr>
              <w:snapToGrid w:val="0"/>
              <w:spacing w:line="360" w:lineRule="auto"/>
              <w:ind w:firstLine="480" w:firstLineChars="200"/>
              <w:jc w:val="left"/>
              <w:rPr>
                <w:color w:val="auto"/>
                <w:sz w:val="24"/>
              </w:rPr>
            </w:pPr>
            <w:r>
              <w:rPr>
                <w:rFonts w:hint="eastAsia"/>
                <w:color w:val="auto"/>
                <w:sz w:val="24"/>
              </w:rPr>
              <w:t>（4）负面清单：对照国家发展和改革委员会发布的《市场准入负面清单（2019版）》，本项目为商品混</w:t>
            </w:r>
            <w:r>
              <w:rPr>
                <w:color w:val="auto"/>
                <w:sz w:val="24"/>
              </w:rPr>
              <w:t>凝土及机制砂</w:t>
            </w:r>
            <w:r>
              <w:rPr>
                <w:rFonts w:hint="eastAsia"/>
                <w:color w:val="auto"/>
                <w:sz w:val="24"/>
              </w:rPr>
              <w:t>生产，不在负面</w:t>
            </w:r>
            <w:r>
              <w:rPr>
                <w:color w:val="auto"/>
                <w:sz w:val="24"/>
              </w:rPr>
              <w:t>清单内</w:t>
            </w:r>
            <w:r>
              <w:rPr>
                <w:rFonts w:hint="eastAsia"/>
                <w:color w:val="auto"/>
                <w:sz w:val="24"/>
              </w:rPr>
              <w:t>，因此项目建设符合国家产业政策。</w:t>
            </w:r>
          </w:p>
          <w:p>
            <w:pPr>
              <w:snapToGrid w:val="0"/>
              <w:spacing w:line="360" w:lineRule="auto"/>
              <w:ind w:firstLine="480" w:firstLineChars="200"/>
              <w:jc w:val="left"/>
              <w:rPr>
                <w:color w:val="auto"/>
                <w:sz w:val="24"/>
              </w:rPr>
            </w:pPr>
            <w:r>
              <w:rPr>
                <w:rFonts w:hint="eastAsia"/>
                <w:color w:val="auto"/>
                <w:sz w:val="24"/>
              </w:rPr>
              <w:t>  所以，本项目符合“三线一单”的要求。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504" w:hRule="atLeast"/>
        </w:trPr>
        <w:tc>
          <w:tcPr>
            <w:tcW w:w="9962" w:type="dxa"/>
            <w:gridSpan w:val="9"/>
          </w:tcPr>
          <w:p>
            <w:pPr>
              <w:spacing w:line="360" w:lineRule="auto"/>
              <w:rPr>
                <w:b/>
                <w:color w:val="auto"/>
                <w:sz w:val="24"/>
              </w:rPr>
            </w:pPr>
            <w:r>
              <w:rPr>
                <w:b/>
                <w:color w:val="auto"/>
                <w:sz w:val="24"/>
              </w:rPr>
              <w:t>三、与本项目有关的原有污染情况及主要环境问题：</w:t>
            </w:r>
          </w:p>
          <w:p>
            <w:pPr>
              <w:pStyle w:val="202"/>
              <w:adjustRightInd w:val="0"/>
              <w:snapToGrid w:val="0"/>
              <w:spacing w:before="0" w:after="0" w:line="360" w:lineRule="auto"/>
              <w:ind w:firstLine="480"/>
              <w:rPr>
                <w:color w:val="auto"/>
                <w:szCs w:val="24"/>
              </w:rPr>
            </w:pPr>
            <w:r>
              <w:rPr>
                <w:color w:val="auto"/>
                <w:szCs w:val="24"/>
              </w:rPr>
              <w:t>该项目位于</w:t>
            </w:r>
            <w:r>
              <w:rPr>
                <w:rFonts w:hint="eastAsia"/>
                <w:color w:val="auto"/>
              </w:rPr>
              <w:t>普宁市军埠镇大长陇工业区荣祥</w:t>
            </w:r>
            <w:r>
              <w:rPr>
                <w:color w:val="auto"/>
              </w:rPr>
              <w:t>楼</w:t>
            </w:r>
            <w:r>
              <w:rPr>
                <w:color w:val="auto"/>
                <w:szCs w:val="24"/>
              </w:rPr>
              <w:t>，</w:t>
            </w:r>
            <w:r>
              <w:rPr>
                <w:rFonts w:hint="eastAsia"/>
                <w:color w:val="auto"/>
                <w:szCs w:val="24"/>
              </w:rPr>
              <w:t>项目东侧及西侧均为荒地，北侧隔空地为普宁大道，南侧隔乡道为服装厂</w:t>
            </w:r>
            <w:r>
              <w:rPr>
                <w:color w:val="auto"/>
                <w:szCs w:val="24"/>
              </w:rPr>
              <w:t>，没有文物景观等自然保护区。</w:t>
            </w:r>
          </w:p>
          <w:p>
            <w:pPr>
              <w:snapToGrid w:val="0"/>
              <w:spacing w:line="360" w:lineRule="auto"/>
              <w:ind w:firstLine="482" w:firstLineChars="200"/>
              <w:rPr>
                <w:bCs/>
                <w:iCs/>
                <w:color w:val="auto"/>
                <w:sz w:val="24"/>
              </w:rPr>
            </w:pPr>
            <w:r>
              <w:rPr>
                <w:rFonts w:hint="eastAsia"/>
                <w:b/>
                <w:bCs/>
                <w:iCs/>
                <w:color w:val="auto"/>
                <w:sz w:val="24"/>
              </w:rPr>
              <w:t>一、本项目原有污染物排放情况：</w:t>
            </w:r>
          </w:p>
          <w:p>
            <w:pPr>
              <w:snapToGrid w:val="0"/>
              <w:spacing w:line="360" w:lineRule="auto"/>
              <w:ind w:firstLine="480" w:firstLineChars="200"/>
              <w:rPr>
                <w:bCs/>
                <w:iCs/>
                <w:color w:val="auto"/>
                <w:sz w:val="24"/>
              </w:rPr>
            </w:pPr>
            <w:r>
              <w:rPr>
                <w:rFonts w:hint="eastAsia"/>
                <w:bCs/>
                <w:iCs/>
                <w:color w:val="auto"/>
                <w:sz w:val="24"/>
              </w:rPr>
              <w:t>公司原</w:t>
            </w:r>
            <w:r>
              <w:rPr>
                <w:bCs/>
                <w:iCs/>
                <w:color w:val="auto"/>
                <w:sz w:val="24"/>
              </w:rPr>
              <w:t>商品混凝土建设项目</w:t>
            </w:r>
            <w:r>
              <w:rPr>
                <w:rFonts w:hint="eastAsia"/>
                <w:bCs/>
                <w:iCs/>
                <w:color w:val="auto"/>
                <w:sz w:val="24"/>
              </w:rPr>
              <w:t>未完善相关环保手续，现状环境管理尚不规范，未有历史监测数据，因此对原有排污情况仅说明配套措施、排放去向和简单定性分析。</w:t>
            </w:r>
          </w:p>
          <w:p>
            <w:pPr>
              <w:snapToGrid w:val="0"/>
              <w:spacing w:line="360" w:lineRule="auto"/>
              <w:ind w:firstLine="480" w:firstLineChars="200"/>
              <w:rPr>
                <w:bCs/>
                <w:iCs/>
                <w:color w:val="auto"/>
                <w:sz w:val="24"/>
              </w:rPr>
            </w:pPr>
            <w:r>
              <w:rPr>
                <w:rFonts w:hint="eastAsia"/>
                <w:bCs/>
                <w:iCs/>
                <w:color w:val="auto"/>
                <w:sz w:val="24"/>
              </w:rPr>
              <w:t>1、项目员工生活污水经过隔油隔渣、三级化粪池预处理后，由</w:t>
            </w:r>
            <w:r>
              <w:rPr>
                <w:bCs/>
                <w:iCs/>
                <w:color w:val="auto"/>
                <w:sz w:val="24"/>
              </w:rPr>
              <w:t>附近村民运走用于农田灌溉</w:t>
            </w:r>
            <w:r>
              <w:rPr>
                <w:rFonts w:hint="eastAsia"/>
                <w:bCs/>
                <w:iCs/>
                <w:color w:val="auto"/>
                <w:sz w:val="24"/>
              </w:rPr>
              <w:t>；搅拌机和地面冲洗产生的废水以及运输车废料经冲洗后由砂石分离机产生的泥浆水，通过四级沉淀池沉淀后回用于生产工序。</w:t>
            </w:r>
          </w:p>
          <w:p>
            <w:pPr>
              <w:snapToGrid w:val="0"/>
              <w:spacing w:line="360" w:lineRule="auto"/>
              <w:ind w:firstLine="480" w:firstLineChars="200"/>
              <w:rPr>
                <w:bCs/>
                <w:iCs/>
                <w:color w:val="auto"/>
                <w:sz w:val="24"/>
              </w:rPr>
            </w:pPr>
            <w:r>
              <w:rPr>
                <w:rFonts w:hint="eastAsia"/>
                <w:bCs/>
                <w:iCs/>
                <w:color w:val="auto"/>
                <w:sz w:val="24"/>
              </w:rPr>
              <w:t>2、每个粉料罐均设有一套主动式脉冲除尘器，单套风量</w:t>
            </w:r>
            <w:r>
              <w:rPr>
                <w:bCs/>
                <w:iCs/>
                <w:color w:val="auto"/>
                <w:sz w:val="24"/>
              </w:rPr>
              <w:t>3000m</w:t>
            </w:r>
            <w:r>
              <w:rPr>
                <w:bCs/>
                <w:iCs/>
                <w:color w:val="auto"/>
                <w:sz w:val="24"/>
                <w:vertAlign w:val="superscript"/>
              </w:rPr>
              <w:t>3</w:t>
            </w:r>
            <w:r>
              <w:rPr>
                <w:rFonts w:hint="eastAsia"/>
                <w:bCs/>
                <w:iCs/>
                <w:color w:val="auto"/>
                <w:sz w:val="24"/>
              </w:rPr>
              <w:t>，除尘率</w:t>
            </w:r>
            <w:r>
              <w:rPr>
                <w:bCs/>
                <w:iCs/>
                <w:color w:val="auto"/>
                <w:sz w:val="24"/>
              </w:rPr>
              <w:t>99.9%</w:t>
            </w:r>
            <w:r>
              <w:rPr>
                <w:rFonts w:hint="eastAsia"/>
                <w:bCs/>
                <w:iCs/>
                <w:color w:val="auto"/>
                <w:sz w:val="24"/>
              </w:rPr>
              <w:t>；搅拌系统采用袋式除尘器处理系统；装卸废气采取在场内顶部以及材料周围装置喷淋洒水装置，定期对原料堆场表层洒水等</w:t>
            </w:r>
            <w:r>
              <w:rPr>
                <w:bCs/>
                <w:iCs/>
                <w:color w:val="auto"/>
                <w:sz w:val="24"/>
              </w:rPr>
              <w:t>措施</w:t>
            </w:r>
            <w:r>
              <w:rPr>
                <w:rFonts w:hint="eastAsia"/>
                <w:bCs/>
                <w:iCs/>
                <w:color w:val="auto"/>
                <w:sz w:val="24"/>
              </w:rPr>
              <w:t>；备用发电机</w:t>
            </w:r>
            <w:r>
              <w:rPr>
                <w:bCs/>
                <w:iCs/>
                <w:color w:val="auto"/>
                <w:sz w:val="24"/>
              </w:rPr>
              <w:t>废气经碱喷淋处理后通过15m高排气筒排放</w:t>
            </w:r>
            <w:r>
              <w:rPr>
                <w:rFonts w:hint="eastAsia"/>
                <w:bCs/>
                <w:iCs/>
                <w:color w:val="auto"/>
                <w:sz w:val="24"/>
              </w:rPr>
              <w:t>。</w:t>
            </w:r>
          </w:p>
          <w:p>
            <w:pPr>
              <w:snapToGrid w:val="0"/>
              <w:spacing w:line="360" w:lineRule="auto"/>
              <w:ind w:firstLine="480" w:firstLineChars="200"/>
              <w:rPr>
                <w:bCs/>
                <w:iCs/>
                <w:color w:val="auto"/>
                <w:sz w:val="24"/>
              </w:rPr>
            </w:pPr>
            <w:r>
              <w:rPr>
                <w:rFonts w:hint="eastAsia"/>
                <w:bCs/>
                <w:iCs/>
                <w:color w:val="auto"/>
                <w:sz w:val="24"/>
              </w:rPr>
              <w:t>3、生活垃圾设置专门存放场地，交环卫部门收集处理；</w:t>
            </w:r>
            <w:r>
              <w:rPr>
                <w:rFonts w:hint="eastAsia"/>
                <w:bCs/>
                <w:color w:val="auto"/>
                <w:sz w:val="24"/>
              </w:rPr>
              <w:t>沉淀池沉渣</w:t>
            </w:r>
            <w:r>
              <w:rPr>
                <w:rFonts w:hint="eastAsia"/>
                <w:color w:val="auto"/>
                <w:sz w:val="24"/>
              </w:rPr>
              <w:t>收集后回用</w:t>
            </w:r>
            <w:r>
              <w:rPr>
                <w:color w:val="auto"/>
                <w:sz w:val="24"/>
              </w:rPr>
              <w:t>于生产</w:t>
            </w:r>
            <w:r>
              <w:rPr>
                <w:rFonts w:hint="eastAsia"/>
                <w:color w:val="auto"/>
                <w:sz w:val="24"/>
              </w:rPr>
              <w:t>；袋式除尘系统收集的</w:t>
            </w:r>
            <w:r>
              <w:rPr>
                <w:color w:val="auto"/>
                <w:sz w:val="24"/>
              </w:rPr>
              <w:t>粉尘回用</w:t>
            </w:r>
            <w:r>
              <w:rPr>
                <w:rFonts w:hint="eastAsia"/>
                <w:color w:val="auto"/>
                <w:sz w:val="24"/>
              </w:rPr>
              <w:t>于生产</w:t>
            </w:r>
            <w:r>
              <w:rPr>
                <w:color w:val="auto"/>
                <w:sz w:val="24"/>
              </w:rPr>
              <w:t>；</w:t>
            </w:r>
            <w:r>
              <w:rPr>
                <w:rFonts w:hint="eastAsia"/>
                <w:color w:val="auto"/>
                <w:sz w:val="24"/>
              </w:rPr>
              <w:t>少量废弃的混凝土试验块经过破碎后回用于生产。</w:t>
            </w:r>
          </w:p>
          <w:p>
            <w:pPr>
              <w:snapToGrid w:val="0"/>
              <w:spacing w:line="360" w:lineRule="auto"/>
              <w:ind w:firstLine="480" w:firstLineChars="200"/>
              <w:rPr>
                <w:bCs/>
                <w:iCs/>
                <w:color w:val="auto"/>
                <w:sz w:val="24"/>
              </w:rPr>
            </w:pPr>
            <w:r>
              <w:rPr>
                <w:rFonts w:hint="eastAsia"/>
                <w:bCs/>
                <w:iCs/>
                <w:color w:val="auto"/>
                <w:sz w:val="24"/>
              </w:rPr>
              <w:t>4、项目布局较合理，</w:t>
            </w:r>
            <w:r>
              <w:rPr>
                <w:rFonts w:hint="eastAsia"/>
                <w:color w:val="auto"/>
                <w:sz w:val="24"/>
              </w:rPr>
              <w:t>对噪声较大的设备设置隔声装置，减低噪声源强；做好设备的维护，保证其正常运行，避免突发性强噪声的产生</w:t>
            </w:r>
            <w:r>
              <w:rPr>
                <w:rFonts w:hint="eastAsia"/>
                <w:bCs/>
                <w:iCs/>
                <w:color w:val="auto"/>
                <w:sz w:val="24"/>
              </w:rPr>
              <w:t>。</w:t>
            </w:r>
          </w:p>
          <w:p>
            <w:pPr>
              <w:snapToGrid w:val="0"/>
              <w:spacing w:line="360" w:lineRule="auto"/>
              <w:ind w:firstLine="482" w:firstLineChars="200"/>
              <w:rPr>
                <w:b/>
                <w:bCs/>
                <w:iCs/>
                <w:color w:val="auto"/>
                <w:sz w:val="24"/>
              </w:rPr>
            </w:pPr>
            <w:r>
              <w:rPr>
                <w:rFonts w:hint="eastAsia"/>
                <w:b/>
                <w:bCs/>
                <w:iCs/>
                <w:color w:val="auto"/>
                <w:sz w:val="24"/>
              </w:rPr>
              <w:t>二、项目存在的主要环境问题及改正措施：</w:t>
            </w:r>
          </w:p>
          <w:p>
            <w:pPr>
              <w:snapToGrid w:val="0"/>
              <w:spacing w:line="360" w:lineRule="auto"/>
              <w:ind w:firstLine="480" w:firstLineChars="200"/>
              <w:rPr>
                <w:bCs/>
                <w:iCs/>
                <w:color w:val="auto"/>
                <w:sz w:val="24"/>
              </w:rPr>
            </w:pPr>
            <w:r>
              <w:rPr>
                <w:rFonts w:hint="eastAsia"/>
                <w:bCs/>
                <w:iCs/>
                <w:color w:val="auto"/>
                <w:sz w:val="24"/>
              </w:rPr>
              <w:t>1、生活污水原经化粪池</w:t>
            </w:r>
            <w:r>
              <w:rPr>
                <w:bCs/>
                <w:iCs/>
                <w:color w:val="auto"/>
                <w:sz w:val="24"/>
              </w:rPr>
              <w:t>处理后</w:t>
            </w:r>
            <w:r>
              <w:rPr>
                <w:rFonts w:hint="eastAsia"/>
                <w:bCs/>
                <w:iCs/>
                <w:color w:val="auto"/>
                <w:sz w:val="24"/>
              </w:rPr>
              <w:t>由</w:t>
            </w:r>
            <w:r>
              <w:rPr>
                <w:bCs/>
                <w:iCs/>
                <w:color w:val="auto"/>
                <w:sz w:val="24"/>
              </w:rPr>
              <w:t>村民</w:t>
            </w:r>
            <w:r>
              <w:rPr>
                <w:rFonts w:hint="eastAsia"/>
                <w:bCs/>
                <w:iCs/>
                <w:color w:val="auto"/>
                <w:sz w:val="24"/>
              </w:rPr>
              <w:t>外运用于</w:t>
            </w:r>
            <w:r>
              <w:rPr>
                <w:bCs/>
                <w:iCs/>
                <w:color w:val="auto"/>
                <w:sz w:val="24"/>
              </w:rPr>
              <w:t>灌溉</w:t>
            </w:r>
            <w:r>
              <w:rPr>
                <w:rFonts w:hint="eastAsia"/>
                <w:bCs/>
                <w:iCs/>
                <w:color w:val="auto"/>
                <w:sz w:val="24"/>
              </w:rPr>
              <w:t>，存在</w:t>
            </w:r>
            <w:r>
              <w:rPr>
                <w:bCs/>
                <w:iCs/>
                <w:color w:val="auto"/>
                <w:sz w:val="24"/>
              </w:rPr>
              <w:t>不确定性，难以管理</w:t>
            </w:r>
            <w:r>
              <w:rPr>
                <w:rFonts w:hint="eastAsia"/>
                <w:bCs/>
                <w:iCs/>
                <w:color w:val="auto"/>
                <w:sz w:val="24"/>
              </w:rPr>
              <w:t>。</w:t>
            </w:r>
            <w:r>
              <w:rPr>
                <w:bCs/>
                <w:iCs/>
                <w:color w:val="auto"/>
                <w:sz w:val="24"/>
              </w:rPr>
              <w:t>拟</w:t>
            </w:r>
            <w:r>
              <w:rPr>
                <w:rFonts w:hint="eastAsia"/>
                <w:bCs/>
                <w:iCs/>
                <w:color w:val="auto"/>
                <w:sz w:val="24"/>
              </w:rPr>
              <w:t>建设地埋式一体化污水处理设施，处理后用于厂区绿化灌溉。</w:t>
            </w:r>
          </w:p>
          <w:p>
            <w:pPr>
              <w:snapToGrid w:val="0"/>
              <w:spacing w:line="360" w:lineRule="auto"/>
              <w:ind w:firstLine="480" w:firstLineChars="200"/>
              <w:rPr>
                <w:bCs/>
                <w:iCs/>
                <w:color w:val="auto"/>
                <w:sz w:val="24"/>
              </w:rPr>
            </w:pPr>
            <w:r>
              <w:rPr>
                <w:rFonts w:hint="eastAsia"/>
                <w:bCs/>
                <w:iCs/>
                <w:color w:val="auto"/>
                <w:sz w:val="24"/>
              </w:rPr>
              <w:t>2、原砂石堆料场为敞开式</w:t>
            </w:r>
            <w:r>
              <w:rPr>
                <w:bCs/>
                <w:iCs/>
                <w:color w:val="auto"/>
                <w:sz w:val="24"/>
              </w:rPr>
              <w:t>，拟</w:t>
            </w:r>
            <w:r>
              <w:rPr>
                <w:rFonts w:hint="eastAsia"/>
                <w:bCs/>
                <w:iCs/>
                <w:color w:val="auto"/>
                <w:sz w:val="24"/>
              </w:rPr>
              <w:t>设置三面围挡和顶棚、自动洒水装置。</w:t>
            </w:r>
          </w:p>
          <w:p>
            <w:pPr>
              <w:snapToGrid w:val="0"/>
              <w:spacing w:line="360" w:lineRule="auto"/>
              <w:ind w:firstLine="480" w:firstLineChars="200"/>
              <w:rPr>
                <w:color w:val="auto"/>
              </w:rPr>
            </w:pPr>
            <w:r>
              <w:rPr>
                <w:rFonts w:hint="eastAsia"/>
                <w:bCs/>
                <w:iCs/>
                <w:color w:val="auto"/>
                <w:sz w:val="24"/>
              </w:rPr>
              <w:t>3、原</w:t>
            </w:r>
            <w:r>
              <w:rPr>
                <w:bCs/>
                <w:iCs/>
                <w:color w:val="auto"/>
                <w:sz w:val="24"/>
              </w:rPr>
              <w:t>固废</w:t>
            </w:r>
            <w:r>
              <w:rPr>
                <w:rFonts w:hint="eastAsia"/>
                <w:bCs/>
                <w:iCs/>
                <w:color w:val="auto"/>
                <w:sz w:val="24"/>
              </w:rPr>
              <w:t>存</w:t>
            </w:r>
            <w:r>
              <w:rPr>
                <w:bCs/>
                <w:iCs/>
                <w:color w:val="auto"/>
                <w:sz w:val="24"/>
              </w:rPr>
              <w:t>放场所为</w:t>
            </w:r>
            <w:r>
              <w:rPr>
                <w:rFonts w:hint="eastAsia"/>
                <w:bCs/>
                <w:iCs/>
                <w:color w:val="auto"/>
                <w:sz w:val="24"/>
              </w:rPr>
              <w:t>敞开式</w:t>
            </w:r>
            <w:r>
              <w:rPr>
                <w:bCs/>
                <w:iCs/>
                <w:color w:val="auto"/>
                <w:sz w:val="24"/>
              </w:rPr>
              <w:t>，拟</w:t>
            </w:r>
            <w:r>
              <w:rPr>
                <w:rFonts w:hint="eastAsia"/>
                <w:bCs/>
                <w:iCs/>
                <w:color w:val="auto"/>
                <w:sz w:val="24"/>
              </w:rPr>
              <w:t>设置三面围挡和顶棚。</w:t>
            </w:r>
          </w:p>
        </w:tc>
      </w:tr>
    </w:tbl>
    <w:p>
      <w:pPr>
        <w:spacing w:before="40"/>
        <w:ind w:firstLine="643"/>
        <w:rPr>
          <w:b/>
          <w:color w:val="auto"/>
          <w:sz w:val="32"/>
          <w:szCs w:val="32"/>
        </w:rPr>
        <w:sectPr>
          <w:footerReference r:id="rId10" w:type="first"/>
          <w:footerReference r:id="rId9" w:type="default"/>
          <w:pgSz w:w="11906" w:h="16838"/>
          <w:pgMar w:top="1440" w:right="1080" w:bottom="1440" w:left="1080" w:header="851" w:footer="567" w:gutter="0"/>
          <w:pgNumType w:start="1"/>
          <w:cols w:space="720" w:num="1"/>
          <w:titlePg/>
          <w:docGrid w:linePitch="312" w:charSpace="0"/>
        </w:sectPr>
      </w:pPr>
    </w:p>
    <w:p>
      <w:pPr>
        <w:pStyle w:val="3"/>
        <w:keepLines/>
        <w:tabs>
          <w:tab w:val="left" w:pos="630"/>
        </w:tabs>
        <w:jc w:val="both"/>
        <w:rPr>
          <w:b/>
          <w:bCs/>
          <w:color w:val="auto"/>
          <w:kern w:val="44"/>
          <w:sz w:val="32"/>
          <w:szCs w:val="32"/>
        </w:rPr>
      </w:pPr>
      <w:r>
        <w:rPr>
          <w:color w:val="auto"/>
        </w:rPr>
        <w:pict>
          <v:shape id="文本框 18" o:spid="_x0000_s1026" o:spt="202" type="#_x0000_t202" style="position:absolute;left:0pt;margin-left:-161.3pt;margin-top:93.8pt;height:31.2pt;width:105pt;z-index:25165004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">
            <v:path/>
            <v:fill on="f" focussize="0,0"/>
            <v:stroke on="f" joinstyle="miter"/>
            <v:imagedata o:title=""/>
            <o:lock v:ext="edit"/>
            <v:textbox>
              <w:txbxContent>
                <w:p>
                  <w:pPr>
                    <w:ind w:firstLine="480"/>
                    <w:rPr>
                      <w:sz w:val="24"/>
                    </w:rPr>
                  </w:pPr>
                  <w:r>
                    <w:rPr>
                      <w:rFonts w:hint="eastAsia"/>
                      <w:sz w:val="24"/>
                    </w:rPr>
                    <w:t>项目现状</w:t>
                  </w:r>
                </w:p>
              </w:txbxContent>
            </v:textbox>
          </v:shape>
        </w:pict>
      </w:r>
      <w:r>
        <w:rPr>
          <w:b/>
          <w:bCs/>
          <w:color w:val="auto"/>
          <w:kern w:val="44"/>
          <w:sz w:val="32"/>
          <w:szCs w:val="32"/>
        </w:rPr>
        <w:t>二、建设项目所在地自然环境简况</w:t>
      </w:r>
    </w:p>
    <w:tbl>
      <w:tblPr>
        <w:tblStyle w:val="29"/>
        <w:tblW w:w="9411" w:type="dxa"/>
        <w:jc w:val="center"/>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9411"/>
      </w:tblGrid>
      <w:tr>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6869" w:hRule="atLeast"/>
          <w:jc w:val="center"/>
        </w:trPr>
        <w:tc>
          <w:tcPr>
            <w:tcW w:w="9411" w:type="dxa"/>
            <w:tcBorders>
              <w:top w:val="single" w:color="auto" w:sz="2" w:space="0"/>
              <w:bottom w:val="single" w:color="auto" w:sz="2" w:space="0"/>
            </w:tcBorders>
          </w:tcPr>
          <w:p>
            <w:pPr>
              <w:spacing w:line="360" w:lineRule="auto"/>
              <w:rPr>
                <w:b/>
                <w:bCs/>
                <w:color w:val="auto"/>
                <w:sz w:val="24"/>
              </w:rPr>
            </w:pPr>
            <w:r>
              <w:rPr>
                <w:b/>
                <w:bCs/>
                <w:color w:val="auto"/>
                <w:sz w:val="24"/>
              </w:rPr>
              <w:t>自然环境简况（地形、地貌、地质、气候、水文、植被、生物多样性等）：</w:t>
            </w:r>
          </w:p>
          <w:p>
            <w:pPr>
              <w:pStyle w:val="221"/>
              <w:rPr>
                <w:rFonts w:hAnsi="Times New Roman"/>
                <w:color w:val="auto"/>
              </w:rPr>
            </w:pPr>
            <w:bookmarkStart w:id="1" w:name="_Toc486252299"/>
            <w:bookmarkStart w:id="2" w:name="_Toc29721802"/>
            <w:bookmarkStart w:id="3" w:name="_Toc29723939"/>
            <w:bookmarkStart w:id="4" w:name="_Toc29787329"/>
            <w:bookmarkStart w:id="5" w:name="_Toc486115172"/>
            <w:bookmarkStart w:id="6" w:name="_Toc29719694"/>
            <w:r>
              <w:rPr>
                <w:rFonts w:hAnsi="Times New Roman"/>
                <w:color w:val="auto"/>
              </w:rPr>
              <w:t>1、地理位置</w:t>
            </w:r>
            <w:bookmarkEnd w:id="1"/>
            <w:bookmarkEnd w:id="2"/>
            <w:bookmarkEnd w:id="3"/>
            <w:bookmarkEnd w:id="4"/>
            <w:bookmarkEnd w:id="5"/>
            <w:bookmarkEnd w:id="6"/>
          </w:p>
          <w:p>
            <w:pPr>
              <w:spacing w:line="360" w:lineRule="auto"/>
              <w:ind w:firstLine="560"/>
              <w:rPr>
                <w:color w:val="auto"/>
                <w:sz w:val="24"/>
              </w:rPr>
            </w:pPr>
            <w:r>
              <w:rPr>
                <w:color w:val="auto"/>
                <w:sz w:val="24"/>
              </w:rPr>
              <w:t>普宁市位于广东省东南部、潮汕平原西缘，东毗汕头市潮南区，南邻惠来县，西南连陆丰市、陆河县，西北接揭西县，东北界榕城区。在东经115°43′10″～116°21′02″，北纬23°05′40″～23°31′48″之间。北回归线从市境北部通过。属南亚热带季风气候。厦深高速铁路、普惠高速公路、揭普高速公路、国道324线、省道236线、省道238在市区交汇。市区距广州市400km、深圳市300km、汕头市金平区60km、揭阳榕城区40km。</w:t>
            </w:r>
          </w:p>
          <w:p>
            <w:pPr>
              <w:pStyle w:val="221"/>
              <w:rPr>
                <w:rFonts w:hAnsi="Times New Roman"/>
                <w:color w:val="auto"/>
              </w:rPr>
            </w:pPr>
            <w:bookmarkStart w:id="7" w:name="_Toc29723940"/>
            <w:bookmarkStart w:id="8" w:name="_Toc486252300"/>
            <w:bookmarkStart w:id="9" w:name="_Toc29719695"/>
            <w:bookmarkStart w:id="10" w:name="_Toc29787330"/>
            <w:bookmarkStart w:id="11" w:name="_Toc486115173"/>
            <w:bookmarkStart w:id="12" w:name="_Toc29721803"/>
            <w:r>
              <w:rPr>
                <w:rFonts w:hAnsi="Times New Roman"/>
                <w:color w:val="auto"/>
              </w:rPr>
              <w:t>2、地形、地貌和地质</w:t>
            </w:r>
            <w:bookmarkEnd w:id="7"/>
            <w:bookmarkEnd w:id="8"/>
            <w:bookmarkEnd w:id="9"/>
            <w:bookmarkEnd w:id="10"/>
            <w:bookmarkEnd w:id="11"/>
            <w:bookmarkEnd w:id="12"/>
          </w:p>
          <w:p>
            <w:pPr>
              <w:pStyle w:val="195"/>
              <w:autoSpaceDE/>
              <w:autoSpaceDN/>
              <w:adjustRightInd/>
              <w:spacing w:line="360" w:lineRule="auto"/>
              <w:ind w:firstLine="470" w:firstLineChars="196"/>
              <w:textAlignment w:val="auto"/>
              <w:rPr>
                <w:rFonts w:eastAsia="宋体"/>
                <w:color w:val="auto"/>
                <w:szCs w:val="24"/>
              </w:rPr>
            </w:pPr>
            <w:r>
              <w:rPr>
                <w:rFonts w:eastAsia="宋体"/>
                <w:color w:val="auto"/>
                <w:szCs w:val="24"/>
              </w:rPr>
              <w:t>普宁地势自西向东倾斜，低山高丘与谷地平原交错相间、分布不均，西北部和西南部多为丘陵、山地，中部、南部和东南部都是广阔肥沃的榕江冲积平原和滨海沉积平原，素称“鱼米之乡”。</w:t>
            </w:r>
          </w:p>
          <w:p>
            <w:pPr>
              <w:pStyle w:val="221"/>
              <w:rPr>
                <w:rFonts w:hAnsi="Times New Roman"/>
                <w:color w:val="auto"/>
              </w:rPr>
            </w:pPr>
            <w:bookmarkStart w:id="13" w:name="_Toc486115174"/>
            <w:bookmarkStart w:id="14" w:name="_Toc29719696"/>
            <w:bookmarkStart w:id="15" w:name="_Toc29723941"/>
            <w:bookmarkStart w:id="16" w:name="_Toc29787331"/>
            <w:bookmarkStart w:id="17" w:name="_Toc29721804"/>
            <w:bookmarkStart w:id="18" w:name="_Toc486252301"/>
            <w:r>
              <w:rPr>
                <w:rFonts w:hAnsi="Times New Roman"/>
                <w:color w:val="auto"/>
              </w:rPr>
              <w:t>3、气候</w:t>
            </w:r>
            <w:bookmarkEnd w:id="13"/>
            <w:bookmarkEnd w:id="14"/>
            <w:bookmarkEnd w:id="15"/>
            <w:bookmarkEnd w:id="16"/>
            <w:bookmarkEnd w:id="17"/>
            <w:bookmarkEnd w:id="18"/>
          </w:p>
          <w:p>
            <w:pPr>
              <w:adjustRightInd w:val="0"/>
              <w:snapToGrid w:val="0"/>
              <w:spacing w:line="360" w:lineRule="auto"/>
              <w:ind w:firstLine="560"/>
              <w:rPr>
                <w:color w:val="auto"/>
                <w:sz w:val="24"/>
              </w:rPr>
            </w:pPr>
            <w:r>
              <w:rPr>
                <w:rFonts w:hint="eastAsia"/>
                <w:color w:val="auto"/>
                <w:sz w:val="24"/>
              </w:rPr>
              <w:t>项目所在区域地处北回归线南缘，属南亚热带季风气候区，海洋性气候明显，常年气候温和，雨量丰沛、阳光充足，宜于作物生长，一年四季，绿叶常青。</w:t>
            </w:r>
          </w:p>
          <w:p>
            <w:pPr>
              <w:spacing w:line="360" w:lineRule="auto"/>
              <w:ind w:firstLine="480" w:firstLineChars="200"/>
              <w:rPr>
                <w:color w:val="auto"/>
                <w:sz w:val="24"/>
              </w:rPr>
            </w:pPr>
            <w:r>
              <w:rPr>
                <w:rFonts w:hint="eastAsia"/>
                <w:color w:val="auto"/>
                <w:sz w:val="24"/>
              </w:rPr>
              <w:t>普宁市属南亚热带季风湿润气候，雨量充沛，夏长冬短，年平均气温22.1℃，7月平均气温28.6℃，1月平均气温14.2℃；全市日照总时数较高，普宁市区为2113.3h；全市气象变化较大，灾害较多，多年平均降水量在2134mm之间，大部分降水量主要集中在4～10月份；年平均相对湿度为78%，5～6月份湿度最大，12～1月份较干燥；年平均气压1011.0mb；年平均风速2.1m/s，极大风速曾达28.7m/s。根据普宁市气象局近20年统计资料，普宁地区的主要气象资料如下。</w:t>
            </w:r>
            <w:bookmarkStart w:id="19" w:name="_Toc486115175"/>
            <w:bookmarkStart w:id="20" w:name="_Toc486252302"/>
          </w:p>
          <w:p>
            <w:pPr>
              <w:widowControl/>
              <w:spacing w:line="360" w:lineRule="auto"/>
              <w:jc w:val="center"/>
              <w:rPr>
                <w:b/>
                <w:bCs/>
                <w:color w:val="auto"/>
              </w:rPr>
            </w:pPr>
            <w:bookmarkStart w:id="21" w:name="_Ref279586882"/>
            <w:r>
              <w:rPr>
                <w:b/>
                <w:bCs/>
                <w:color w:val="auto"/>
              </w:rPr>
              <w:t>表</w:t>
            </w:r>
            <w:bookmarkEnd w:id="21"/>
            <w:r>
              <w:rPr>
                <w:b/>
                <w:bCs/>
                <w:color w:val="auto"/>
              </w:rPr>
              <w:t>2-1</w:t>
            </w:r>
            <w:r>
              <w:rPr>
                <w:rFonts w:hint="eastAsia"/>
                <w:b/>
                <w:bCs/>
                <w:color w:val="auto"/>
              </w:rPr>
              <w:t>普宁市气象站近20年的主要气候资料统计结果表</w:t>
            </w:r>
          </w:p>
          <w:tbl>
            <w:tblPr>
              <w:tblStyle w:val="29"/>
              <w:tblW w:w="82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85"/>
              <w:gridCol w:w="4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bookmarkStart w:id="22" w:name="_Ref276567909"/>
                  <w:r>
                    <w:rPr>
                      <w:color w:val="auto"/>
                      <w:szCs w:val="21"/>
                    </w:rPr>
                    <w:t>项目</w:t>
                  </w:r>
                </w:p>
              </w:tc>
              <w:tc>
                <w:tcPr>
                  <w:tcW w:w="4514" w:type="dxa"/>
                  <w:vAlign w:val="center"/>
                </w:tcPr>
                <w:p>
                  <w:pPr>
                    <w:overflowPunct w:val="0"/>
                    <w:adjustRightInd w:val="0"/>
                    <w:snapToGrid w:val="0"/>
                    <w:jc w:val="center"/>
                    <w:rPr>
                      <w:color w:val="auto"/>
                      <w:szCs w:val="21"/>
                    </w:rPr>
                  </w:pPr>
                  <w:r>
                    <w:rPr>
                      <w:color w:val="auto"/>
                      <w:szCs w:val="21"/>
                    </w:rPr>
                    <w:t>数值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年平均风速(m/s)</w:t>
                  </w:r>
                </w:p>
              </w:tc>
              <w:tc>
                <w:tcPr>
                  <w:tcW w:w="4514" w:type="dxa"/>
                  <w:vAlign w:val="center"/>
                </w:tcPr>
                <w:p>
                  <w:pPr>
                    <w:overflowPunct w:val="0"/>
                    <w:adjustRightInd w:val="0"/>
                    <w:snapToGrid w:val="0"/>
                    <w:jc w:val="center"/>
                    <w:rPr>
                      <w:color w:val="auto"/>
                      <w:szCs w:val="21"/>
                    </w:rPr>
                  </w:pPr>
                  <w:r>
                    <w:rPr>
                      <w:color w:val="auto"/>
                      <w:szCs w:val="21"/>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 xml:space="preserve">最大风速(m/s) </w:t>
                  </w:r>
                </w:p>
              </w:tc>
              <w:tc>
                <w:tcPr>
                  <w:tcW w:w="4514" w:type="dxa"/>
                  <w:vAlign w:val="center"/>
                </w:tcPr>
                <w:p>
                  <w:pPr>
                    <w:overflowPunct w:val="0"/>
                    <w:adjustRightInd w:val="0"/>
                    <w:snapToGrid w:val="0"/>
                    <w:jc w:val="center"/>
                    <w:rPr>
                      <w:color w:val="auto"/>
                      <w:szCs w:val="21"/>
                    </w:rPr>
                  </w:pPr>
                  <w:r>
                    <w:rPr>
                      <w:color w:val="auto"/>
                      <w:szCs w:val="21"/>
                    </w:rPr>
                    <w:t>20.5</w:t>
                  </w:r>
                </w:p>
                <w:p>
                  <w:pPr>
                    <w:overflowPunct w:val="0"/>
                    <w:adjustRightInd w:val="0"/>
                    <w:snapToGrid w:val="0"/>
                    <w:jc w:val="center"/>
                    <w:rPr>
                      <w:color w:val="auto"/>
                      <w:szCs w:val="21"/>
                    </w:rPr>
                  </w:pPr>
                  <w:r>
                    <w:rPr>
                      <w:color w:val="auto"/>
                      <w:szCs w:val="21"/>
                    </w:rPr>
                    <w:t>相应风向：SE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年平均气温（℃）</w:t>
                  </w:r>
                </w:p>
              </w:tc>
              <w:tc>
                <w:tcPr>
                  <w:tcW w:w="4514" w:type="dxa"/>
                  <w:vAlign w:val="center"/>
                </w:tcPr>
                <w:p>
                  <w:pPr>
                    <w:overflowPunct w:val="0"/>
                    <w:adjustRightInd w:val="0"/>
                    <w:snapToGrid w:val="0"/>
                    <w:jc w:val="center"/>
                    <w:rPr>
                      <w:color w:val="auto"/>
                      <w:szCs w:val="21"/>
                    </w:rPr>
                  </w:pPr>
                  <w:r>
                    <w:rPr>
                      <w:color w:val="auto"/>
                      <w:szCs w:val="21"/>
                    </w:rPr>
                    <w:t>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极端最高气温（℃）</w:t>
                  </w:r>
                </w:p>
              </w:tc>
              <w:tc>
                <w:tcPr>
                  <w:tcW w:w="4514" w:type="dxa"/>
                  <w:vAlign w:val="center"/>
                </w:tcPr>
                <w:p>
                  <w:pPr>
                    <w:overflowPunct w:val="0"/>
                    <w:adjustRightInd w:val="0"/>
                    <w:snapToGrid w:val="0"/>
                    <w:jc w:val="center"/>
                    <w:rPr>
                      <w:color w:val="auto"/>
                      <w:szCs w:val="21"/>
                    </w:rPr>
                  </w:pPr>
                  <w:r>
                    <w:rPr>
                      <w:color w:val="auto"/>
                      <w:szCs w:val="21"/>
                    </w:rPr>
                    <w:t>38.1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极端最低气温（℃）</w:t>
                  </w:r>
                </w:p>
              </w:tc>
              <w:tc>
                <w:tcPr>
                  <w:tcW w:w="4514" w:type="dxa"/>
                  <w:vAlign w:val="center"/>
                </w:tcPr>
                <w:p>
                  <w:pPr>
                    <w:overflowPunct w:val="0"/>
                    <w:adjustRightInd w:val="0"/>
                    <w:snapToGrid w:val="0"/>
                    <w:jc w:val="center"/>
                    <w:rPr>
                      <w:color w:val="auto"/>
                      <w:szCs w:val="21"/>
                    </w:rPr>
                  </w:pPr>
                  <w:r>
                    <w:rPr>
                      <w:color w:val="auto"/>
                      <w:szCs w:val="21"/>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年平均相对湿度（%）</w:t>
                  </w:r>
                </w:p>
              </w:tc>
              <w:tc>
                <w:tcPr>
                  <w:tcW w:w="4514" w:type="dxa"/>
                  <w:vAlign w:val="center"/>
                </w:tcPr>
                <w:p>
                  <w:pPr>
                    <w:overflowPunct w:val="0"/>
                    <w:adjustRightInd w:val="0"/>
                    <w:snapToGrid w:val="0"/>
                    <w:jc w:val="center"/>
                    <w:rPr>
                      <w:color w:val="auto"/>
                      <w:szCs w:val="21"/>
                    </w:rPr>
                  </w:pPr>
                  <w:r>
                    <w:rPr>
                      <w:color w:val="auto"/>
                      <w:szCs w:val="21"/>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年均降水量（mm）</w:t>
                  </w:r>
                </w:p>
              </w:tc>
              <w:tc>
                <w:tcPr>
                  <w:tcW w:w="4514" w:type="dxa"/>
                  <w:vAlign w:val="center"/>
                </w:tcPr>
                <w:p>
                  <w:pPr>
                    <w:overflowPunct w:val="0"/>
                    <w:adjustRightInd w:val="0"/>
                    <w:snapToGrid w:val="0"/>
                    <w:jc w:val="center"/>
                    <w:rPr>
                      <w:color w:val="auto"/>
                      <w:szCs w:val="21"/>
                    </w:rPr>
                  </w:pPr>
                  <w:r>
                    <w:rPr>
                      <w:color w:val="auto"/>
                      <w:szCs w:val="21"/>
                    </w:rPr>
                    <w:t>2137.2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年平均降水日数(≥0.1mm)</w:t>
                  </w:r>
                </w:p>
              </w:tc>
              <w:tc>
                <w:tcPr>
                  <w:tcW w:w="4514" w:type="dxa"/>
                  <w:vAlign w:val="center"/>
                </w:tcPr>
                <w:p>
                  <w:pPr>
                    <w:overflowPunct w:val="0"/>
                    <w:adjustRightInd w:val="0"/>
                    <w:snapToGrid w:val="0"/>
                    <w:jc w:val="center"/>
                    <w:rPr>
                      <w:color w:val="auto"/>
                      <w:szCs w:val="21"/>
                    </w:rPr>
                  </w:pPr>
                  <w:r>
                    <w:rPr>
                      <w:color w:val="auto"/>
                      <w:szCs w:val="21"/>
                    </w:rPr>
                    <w:t>141.1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年最大降水量（mm）</w:t>
                  </w:r>
                </w:p>
              </w:tc>
              <w:tc>
                <w:tcPr>
                  <w:tcW w:w="4514" w:type="dxa"/>
                  <w:vAlign w:val="center"/>
                </w:tcPr>
                <w:p>
                  <w:pPr>
                    <w:overflowPunct w:val="0"/>
                    <w:adjustRightInd w:val="0"/>
                    <w:snapToGrid w:val="0"/>
                    <w:jc w:val="center"/>
                    <w:rPr>
                      <w:color w:val="auto"/>
                      <w:szCs w:val="21"/>
                    </w:rPr>
                  </w:pPr>
                  <w:r>
                    <w:rPr>
                      <w:color w:val="auto"/>
                      <w:szCs w:val="21"/>
                    </w:rPr>
                    <w:t xml:space="preserve">3153.8mm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年最小降水量（mm）</w:t>
                  </w:r>
                </w:p>
              </w:tc>
              <w:tc>
                <w:tcPr>
                  <w:tcW w:w="4514" w:type="dxa"/>
                  <w:vAlign w:val="center"/>
                </w:tcPr>
                <w:p>
                  <w:pPr>
                    <w:overflowPunct w:val="0"/>
                    <w:adjustRightInd w:val="0"/>
                    <w:snapToGrid w:val="0"/>
                    <w:jc w:val="center"/>
                    <w:rPr>
                      <w:color w:val="auto"/>
                      <w:szCs w:val="21"/>
                    </w:rPr>
                  </w:pPr>
                  <w:r>
                    <w:rPr>
                      <w:color w:val="auto"/>
                      <w:szCs w:val="21"/>
                    </w:rPr>
                    <w:t>1233.3mm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788" w:type="dxa"/>
                  <w:vAlign w:val="center"/>
                </w:tcPr>
                <w:p>
                  <w:pPr>
                    <w:overflowPunct w:val="0"/>
                    <w:adjustRightInd w:val="0"/>
                    <w:snapToGrid w:val="0"/>
                    <w:jc w:val="center"/>
                    <w:rPr>
                      <w:color w:val="auto"/>
                      <w:szCs w:val="21"/>
                    </w:rPr>
                  </w:pPr>
                  <w:r>
                    <w:rPr>
                      <w:color w:val="auto"/>
                      <w:szCs w:val="21"/>
                    </w:rPr>
                    <w:t>年平均日照时数（h）</w:t>
                  </w:r>
                </w:p>
              </w:tc>
              <w:tc>
                <w:tcPr>
                  <w:tcW w:w="4514" w:type="dxa"/>
                  <w:vAlign w:val="center"/>
                </w:tcPr>
                <w:p>
                  <w:pPr>
                    <w:overflowPunct w:val="0"/>
                    <w:adjustRightInd w:val="0"/>
                    <w:snapToGrid w:val="0"/>
                    <w:jc w:val="center"/>
                    <w:rPr>
                      <w:color w:val="auto"/>
                      <w:szCs w:val="21"/>
                    </w:rPr>
                  </w:pPr>
                  <w:r>
                    <w:rPr>
                      <w:color w:val="auto"/>
                      <w:szCs w:val="21"/>
                    </w:rPr>
                    <w:t>2132.7</w:t>
                  </w:r>
                </w:p>
              </w:tc>
            </w:tr>
          </w:tbl>
          <w:p>
            <w:pPr>
              <w:widowControl/>
              <w:spacing w:line="360" w:lineRule="auto"/>
              <w:ind w:firstLine="480"/>
              <w:jc w:val="center"/>
              <w:rPr>
                <w:b/>
                <w:bCs/>
                <w:color w:val="auto"/>
              </w:rPr>
            </w:pPr>
            <w:r>
              <w:rPr>
                <w:b/>
                <w:bCs/>
                <w:color w:val="auto"/>
              </w:rPr>
              <w:t>表</w:t>
            </w:r>
            <w:bookmarkEnd w:id="22"/>
            <w:r>
              <w:rPr>
                <w:b/>
                <w:bCs/>
                <w:color w:val="auto"/>
              </w:rPr>
              <w:t>2-2</w:t>
            </w:r>
            <w:r>
              <w:rPr>
                <w:rFonts w:hint="eastAsia"/>
                <w:b/>
                <w:bCs/>
                <w:color w:val="auto"/>
              </w:rPr>
              <w:t>普宁市气象站近20年的各月平均气温表（单位：℃）</w:t>
            </w:r>
          </w:p>
          <w:tbl>
            <w:tblPr>
              <w:tblStyle w:val="29"/>
              <w:tblW w:w="91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4"/>
              <w:gridCol w:w="685"/>
              <w:gridCol w:w="684"/>
              <w:gridCol w:w="684"/>
              <w:gridCol w:w="684"/>
              <w:gridCol w:w="684"/>
              <w:gridCol w:w="686"/>
              <w:gridCol w:w="686"/>
              <w:gridCol w:w="686"/>
              <w:gridCol w:w="686"/>
              <w:gridCol w:w="708"/>
              <w:gridCol w:w="686"/>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8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月份</w:t>
                  </w:r>
                </w:p>
              </w:tc>
              <w:tc>
                <w:tcPr>
                  <w:tcW w:w="685"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4</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5</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6</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rFonts w:hint="eastAsia"/>
                      <w:color w:val="auto"/>
                    </w:rPr>
                    <w:t>7</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rFonts w:hint="eastAsia"/>
                      <w:color w:val="auto"/>
                    </w:rPr>
                    <w:t>8</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9</w:t>
                  </w:r>
                </w:p>
              </w:tc>
              <w:tc>
                <w:tcPr>
                  <w:tcW w:w="70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11</w:t>
                  </w:r>
                </w:p>
              </w:tc>
              <w:tc>
                <w:tcPr>
                  <w:tcW w:w="681"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8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气温</w:t>
                  </w:r>
                </w:p>
              </w:tc>
              <w:tc>
                <w:tcPr>
                  <w:tcW w:w="685"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14.3</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15.4</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17</w:t>
                  </w:r>
                  <w:r>
                    <w:rPr>
                      <w:rFonts w:hint="eastAsia"/>
                      <w:color w:val="auto"/>
                    </w:rPr>
                    <w:t>.</w:t>
                  </w:r>
                  <w:r>
                    <w:rPr>
                      <w:color w:val="auto"/>
                    </w:rPr>
                    <w:t>6</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21.7</w:t>
                  </w:r>
                </w:p>
              </w:tc>
              <w:tc>
                <w:tcPr>
                  <w:tcW w:w="68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24.9</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27.3</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28.6</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28.3</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27.0</w:t>
                  </w:r>
                </w:p>
              </w:tc>
              <w:tc>
                <w:tcPr>
                  <w:tcW w:w="70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24.4</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20.5</w:t>
                  </w:r>
                </w:p>
              </w:tc>
              <w:tc>
                <w:tcPr>
                  <w:tcW w:w="681"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16.1</w:t>
                  </w:r>
                </w:p>
              </w:tc>
            </w:tr>
          </w:tbl>
          <w:p>
            <w:pPr>
              <w:widowControl/>
              <w:spacing w:line="360" w:lineRule="auto"/>
              <w:ind w:firstLine="480"/>
              <w:jc w:val="center"/>
              <w:rPr>
                <w:b/>
                <w:bCs/>
                <w:color w:val="auto"/>
              </w:rPr>
            </w:pPr>
            <w:r>
              <w:rPr>
                <w:b/>
                <w:bCs/>
                <w:color w:val="auto"/>
              </w:rPr>
              <w:t xml:space="preserve">表2-3  </w:t>
            </w:r>
            <w:r>
              <w:rPr>
                <w:rFonts w:hint="eastAsia"/>
                <w:b/>
                <w:bCs/>
                <w:color w:val="auto"/>
              </w:rPr>
              <w:t>普宁市气象站近20年的各月平均风速表（单位：m/s）</w:t>
            </w:r>
          </w:p>
          <w:tbl>
            <w:tblPr>
              <w:tblStyle w:val="29"/>
              <w:tblW w:w="912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5"/>
              <w:gridCol w:w="686"/>
              <w:gridCol w:w="686"/>
              <w:gridCol w:w="686"/>
              <w:gridCol w:w="686"/>
              <w:gridCol w:w="686"/>
              <w:gridCol w:w="688"/>
              <w:gridCol w:w="688"/>
              <w:gridCol w:w="688"/>
              <w:gridCol w:w="688"/>
              <w:gridCol w:w="688"/>
              <w:gridCol w:w="688"/>
              <w:gridCol w:w="6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885"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月份</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4</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5</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6</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7</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8</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9</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10</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11</w:t>
                  </w:r>
                </w:p>
              </w:tc>
              <w:tc>
                <w:tcPr>
                  <w:tcW w:w="681"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jc w:val="center"/>
              </w:trPr>
              <w:tc>
                <w:tcPr>
                  <w:tcW w:w="885"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风速</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1.9</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2.1</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2.2</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2.3</w:t>
                  </w:r>
                </w:p>
              </w:tc>
              <w:tc>
                <w:tcPr>
                  <w:tcW w:w="68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2.2</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2.2</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2.3</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2.2</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2.0</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2.0</w:t>
                  </w:r>
                </w:p>
              </w:tc>
              <w:tc>
                <w:tcPr>
                  <w:tcW w:w="6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1.9</w:t>
                  </w:r>
                </w:p>
              </w:tc>
              <w:tc>
                <w:tcPr>
                  <w:tcW w:w="681"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1.8</w:t>
                  </w:r>
                </w:p>
              </w:tc>
            </w:tr>
          </w:tbl>
          <w:p>
            <w:pPr>
              <w:widowControl/>
              <w:spacing w:line="360" w:lineRule="auto"/>
              <w:ind w:firstLine="480"/>
              <w:jc w:val="center"/>
              <w:rPr>
                <w:b/>
                <w:bCs/>
                <w:color w:val="auto"/>
                <w:szCs w:val="22"/>
              </w:rPr>
            </w:pPr>
            <w:bookmarkStart w:id="23" w:name="_Ref397431124"/>
            <w:bookmarkStart w:id="24" w:name="_Ref276567926"/>
            <w:r>
              <w:rPr>
                <w:b/>
                <w:bCs/>
                <w:color w:val="auto"/>
                <w:szCs w:val="22"/>
              </w:rPr>
              <w:t>表</w:t>
            </w:r>
            <w:bookmarkEnd w:id="23"/>
            <w:bookmarkEnd w:id="24"/>
            <w:r>
              <w:rPr>
                <w:b/>
                <w:bCs/>
                <w:color w:val="auto"/>
                <w:szCs w:val="22"/>
              </w:rPr>
              <w:t>2-4</w:t>
            </w:r>
            <w:r>
              <w:rPr>
                <w:rFonts w:hint="eastAsia"/>
                <w:b/>
                <w:bCs/>
                <w:color w:val="auto"/>
                <w:szCs w:val="22"/>
              </w:rPr>
              <w:t>普宁市气象站近20年各季及全年风向频率表（单位：%）</w:t>
            </w:r>
          </w:p>
          <w:tbl>
            <w:tblPr>
              <w:tblStyle w:val="29"/>
              <w:tblW w:w="90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709"/>
              <w:gridCol w:w="377"/>
              <w:gridCol w:w="546"/>
              <w:gridCol w:w="394"/>
              <w:gridCol w:w="523"/>
              <w:gridCol w:w="482"/>
              <w:gridCol w:w="488"/>
              <w:gridCol w:w="377"/>
              <w:gridCol w:w="476"/>
              <w:gridCol w:w="377"/>
              <w:gridCol w:w="546"/>
              <w:gridCol w:w="429"/>
              <w:gridCol w:w="628"/>
              <w:gridCol w:w="377"/>
              <w:gridCol w:w="663"/>
              <w:gridCol w:w="464"/>
              <w:gridCol w:w="616"/>
              <w:gridCol w:w="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6" w:hRule="atLeast"/>
                <w:jc w:val="center"/>
              </w:trPr>
              <w:tc>
                <w:tcPr>
                  <w:tcW w:w="709"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风向</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N</w:t>
                  </w:r>
                </w:p>
              </w:tc>
              <w:tc>
                <w:tcPr>
                  <w:tcW w:w="54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NNE</w:t>
                  </w:r>
                </w:p>
              </w:tc>
              <w:tc>
                <w:tcPr>
                  <w:tcW w:w="39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NE</w:t>
                  </w:r>
                </w:p>
              </w:tc>
              <w:tc>
                <w:tcPr>
                  <w:tcW w:w="523"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ENE</w:t>
                  </w:r>
                </w:p>
              </w:tc>
              <w:tc>
                <w:tcPr>
                  <w:tcW w:w="482"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E</w:t>
                  </w:r>
                </w:p>
              </w:tc>
              <w:tc>
                <w:tcPr>
                  <w:tcW w:w="4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ESE</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SE</w:t>
                  </w:r>
                </w:p>
              </w:tc>
              <w:tc>
                <w:tcPr>
                  <w:tcW w:w="47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SSE</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S</w:t>
                  </w:r>
                </w:p>
              </w:tc>
              <w:tc>
                <w:tcPr>
                  <w:tcW w:w="54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SSW</w:t>
                  </w:r>
                </w:p>
              </w:tc>
              <w:tc>
                <w:tcPr>
                  <w:tcW w:w="429"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cr/>
                  </w:r>
                  <w:r>
                    <w:rPr>
                      <w:color w:val="auto"/>
                    </w:rPr>
                    <w:t>W</w:t>
                  </w:r>
                </w:p>
              </w:tc>
              <w:tc>
                <w:tcPr>
                  <w:tcW w:w="62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WSW</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W</w:t>
                  </w:r>
                </w:p>
              </w:tc>
              <w:tc>
                <w:tcPr>
                  <w:tcW w:w="663"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WNW</w:t>
                  </w:r>
                </w:p>
              </w:tc>
              <w:tc>
                <w:tcPr>
                  <w:tcW w:w="46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NW</w:t>
                  </w:r>
                </w:p>
              </w:tc>
              <w:tc>
                <w:tcPr>
                  <w:tcW w:w="61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NNW</w:t>
                  </w:r>
                </w:p>
              </w:tc>
              <w:tc>
                <w:tcPr>
                  <w:tcW w:w="540"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6" w:hRule="atLeast"/>
                <w:jc w:val="center"/>
              </w:trPr>
              <w:tc>
                <w:tcPr>
                  <w:tcW w:w="709"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风频（%）</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4.7</w:t>
                  </w:r>
                </w:p>
              </w:tc>
              <w:tc>
                <w:tcPr>
                  <w:tcW w:w="54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5.1</w:t>
                  </w:r>
                </w:p>
              </w:tc>
              <w:tc>
                <w:tcPr>
                  <w:tcW w:w="39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6.3</w:t>
                  </w:r>
                </w:p>
              </w:tc>
              <w:tc>
                <w:tcPr>
                  <w:tcW w:w="523"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5</w:t>
                  </w:r>
                </w:p>
              </w:tc>
              <w:tc>
                <w:tcPr>
                  <w:tcW w:w="482"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13.6</w:t>
                  </w:r>
                </w:p>
              </w:tc>
              <w:tc>
                <w:tcPr>
                  <w:tcW w:w="48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10.5</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8.6</w:t>
                  </w:r>
                </w:p>
              </w:tc>
              <w:tc>
                <w:tcPr>
                  <w:tcW w:w="47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3.1</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3.8</w:t>
                  </w:r>
                </w:p>
              </w:tc>
              <w:tc>
                <w:tcPr>
                  <w:tcW w:w="54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3.3</w:t>
                  </w:r>
                </w:p>
              </w:tc>
              <w:tc>
                <w:tcPr>
                  <w:tcW w:w="429"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7.7</w:t>
                  </w:r>
                </w:p>
              </w:tc>
              <w:tc>
                <w:tcPr>
                  <w:tcW w:w="628"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3.7</w:t>
                  </w:r>
                </w:p>
              </w:tc>
              <w:tc>
                <w:tcPr>
                  <w:tcW w:w="377"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2.3</w:t>
                  </w:r>
                </w:p>
              </w:tc>
              <w:tc>
                <w:tcPr>
                  <w:tcW w:w="663"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w:t>
                  </w:r>
                </w:p>
              </w:tc>
              <w:tc>
                <w:tcPr>
                  <w:tcW w:w="464"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4.3</w:t>
                  </w:r>
                </w:p>
              </w:tc>
              <w:tc>
                <w:tcPr>
                  <w:tcW w:w="616"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2.9</w:t>
                  </w:r>
                </w:p>
              </w:tc>
              <w:tc>
                <w:tcPr>
                  <w:tcW w:w="540" w:type="dxa"/>
                  <w:tcBorders>
                    <w:top w:val="single" w:color="auto" w:sz="4" w:space="0"/>
                    <w:left w:val="single" w:color="auto" w:sz="4" w:space="0"/>
                    <w:bottom w:val="single" w:color="auto" w:sz="4" w:space="0"/>
                    <w:right w:val="single" w:color="auto" w:sz="4" w:space="0"/>
                  </w:tcBorders>
                  <w:vAlign w:val="center"/>
                </w:tcPr>
                <w:p>
                  <w:pPr>
                    <w:pStyle w:val="224"/>
                    <w:rPr>
                      <w:color w:val="auto"/>
                    </w:rPr>
                  </w:pPr>
                  <w:r>
                    <w:rPr>
                      <w:color w:val="auto"/>
                    </w:rPr>
                    <w:t>14.6</w:t>
                  </w:r>
                </w:p>
              </w:tc>
            </w:tr>
          </w:tbl>
          <w:p>
            <w:pPr>
              <w:rPr>
                <w:color w:val="auto"/>
              </w:rPr>
            </w:pPr>
          </w:p>
          <w:p>
            <w:pPr>
              <w:widowControl/>
              <w:spacing w:line="360" w:lineRule="auto"/>
              <w:ind w:firstLine="480"/>
              <w:jc w:val="center"/>
              <w:rPr>
                <w:color w:val="auto"/>
              </w:rPr>
            </w:pPr>
            <w:bookmarkStart w:id="25" w:name="_Ref276568031"/>
            <w:r>
              <w:rPr>
                <w:color w:val="auto"/>
              </w:rPr>
              <w:drawing>
                <wp:inline distT="0" distB="0" distL="0" distR="0">
                  <wp:extent cx="2043430" cy="211328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noChangeArrowheads="1"/>
                          </pic:cNvPicPr>
                        </pic:nvPicPr>
                        <pic:blipFill>
                          <a:blip r:embed="rId21">
                            <a:extLst>
                              <a:ext uri="{28A0092B-C50C-407E-A947-70E740481C1C}">
                                <a14:useLocalDpi xmlns:a14="http://schemas.microsoft.com/office/drawing/2010/main" val="0"/>
                              </a:ext>
                            </a:extLst>
                          </a:blip>
                          <a:srcRect l="5254" t="3114" r="7639" b="2069"/>
                          <a:stretch>
                            <a:fillRect/>
                          </a:stretch>
                        </pic:blipFill>
                        <pic:spPr>
                          <a:xfrm>
                            <a:off x="0" y="0"/>
                            <a:ext cx="2050670" cy="2121223"/>
                          </a:xfrm>
                          <a:prstGeom prst="rect">
                            <a:avLst/>
                          </a:prstGeom>
                          <a:noFill/>
                          <a:ln>
                            <a:noFill/>
                          </a:ln>
                        </pic:spPr>
                      </pic:pic>
                    </a:graphicData>
                  </a:graphic>
                </wp:inline>
              </w:drawing>
            </w:r>
          </w:p>
          <w:bookmarkEnd w:id="25"/>
          <w:p>
            <w:pPr>
              <w:widowControl/>
              <w:spacing w:line="360" w:lineRule="auto"/>
              <w:jc w:val="center"/>
              <w:rPr>
                <w:b/>
                <w:bCs/>
                <w:color w:val="auto"/>
              </w:rPr>
            </w:pPr>
            <w:bookmarkStart w:id="26" w:name="_Ref277252038"/>
            <w:r>
              <w:rPr>
                <w:b/>
                <w:bCs/>
                <w:color w:val="auto"/>
              </w:rPr>
              <w:t>图</w:t>
            </w:r>
            <w:bookmarkEnd w:id="26"/>
            <w:r>
              <w:rPr>
                <w:b/>
                <w:bCs/>
                <w:color w:val="auto"/>
              </w:rPr>
              <w:t xml:space="preserve">2-1  </w:t>
            </w:r>
            <w:r>
              <w:rPr>
                <w:rFonts w:hint="eastAsia"/>
                <w:b/>
                <w:bCs/>
                <w:color w:val="auto"/>
              </w:rPr>
              <w:t>普宁市气象站近20年风向频率玫瑰图</w:t>
            </w:r>
          </w:p>
          <w:p>
            <w:pPr>
              <w:adjustRightInd w:val="0"/>
              <w:spacing w:line="240" w:lineRule="exact"/>
              <w:ind w:leftChars="-257" w:hanging="539" w:hangingChars="257"/>
              <w:rPr>
                <w:color w:val="auto"/>
              </w:rPr>
            </w:pPr>
          </w:p>
          <w:p>
            <w:pPr>
              <w:adjustRightInd w:val="0"/>
              <w:snapToGrid w:val="0"/>
              <w:spacing w:line="360" w:lineRule="auto"/>
              <w:ind w:firstLine="480" w:firstLineChars="200"/>
              <w:rPr>
                <w:color w:val="auto"/>
                <w:sz w:val="24"/>
              </w:rPr>
            </w:pPr>
            <w:r>
              <w:rPr>
                <w:color w:val="auto"/>
                <w:sz w:val="24"/>
              </w:rPr>
              <w:t>本流域多年水面平均蒸发量为1473.7mm，多年平均相对湿度为82%。各月平均相对湿度最小为77%，最大为86%。</w:t>
            </w:r>
          </w:p>
          <w:p>
            <w:pPr>
              <w:pStyle w:val="221"/>
              <w:rPr>
                <w:rFonts w:hAnsi="Times New Roman"/>
                <w:color w:val="auto"/>
              </w:rPr>
            </w:pPr>
            <w:r>
              <w:rPr>
                <w:rFonts w:hAnsi="Times New Roman"/>
                <w:color w:val="auto"/>
              </w:rPr>
              <w:t>4、水文</w:t>
            </w:r>
            <w:bookmarkEnd w:id="19"/>
            <w:bookmarkEnd w:id="20"/>
          </w:p>
          <w:p>
            <w:pPr>
              <w:pStyle w:val="151"/>
              <w:spacing w:line="360" w:lineRule="auto"/>
              <w:rPr>
                <w:color w:val="auto"/>
              </w:rPr>
            </w:pPr>
            <w:bookmarkStart w:id="27" w:name="_Toc29721806"/>
            <w:bookmarkStart w:id="28" w:name="_Toc29719698"/>
            <w:bookmarkStart w:id="29" w:name="_Toc29723943"/>
            <w:bookmarkStart w:id="30" w:name="_Toc29787333"/>
            <w:bookmarkStart w:id="31" w:name="_Toc486252303"/>
            <w:bookmarkStart w:id="32" w:name="_Toc486115176"/>
            <w:r>
              <w:rPr>
                <w:color w:val="auto"/>
              </w:rPr>
              <w:t>普宁市有练江、榕江、龙江三大水系，集水面积榕江占27.7%，练江占31.4%，龙江占40.9%。多年平均径流深1353mm，多年平均径流量21.535亿m</w:t>
            </w:r>
            <w:r>
              <w:rPr>
                <w:color w:val="auto"/>
                <w:vertAlign w:val="superscript"/>
              </w:rPr>
              <w:t>3</w:t>
            </w:r>
            <w:r>
              <w:rPr>
                <w:color w:val="auto"/>
              </w:rPr>
              <w:t>。与本项目有关的河流为练江和</w:t>
            </w:r>
            <w:r>
              <w:rPr>
                <w:rFonts w:hint="eastAsia"/>
                <w:color w:val="auto"/>
              </w:rPr>
              <w:t>流经大长陇村的无名</w:t>
            </w:r>
            <w:r>
              <w:rPr>
                <w:color w:val="auto"/>
              </w:rPr>
              <w:t>沟渠</w:t>
            </w:r>
            <w:r>
              <w:rPr>
                <w:rFonts w:hint="eastAsia"/>
                <w:color w:val="auto"/>
              </w:rPr>
              <w:t>（最终汇入潮南区司马截洪渠）</w:t>
            </w:r>
            <w:r>
              <w:rPr>
                <w:color w:val="auto"/>
              </w:rPr>
              <w:t>，其基本情况综述如下：</w:t>
            </w:r>
          </w:p>
          <w:p>
            <w:pPr>
              <w:pStyle w:val="151"/>
              <w:spacing w:line="360" w:lineRule="auto"/>
              <w:rPr>
                <w:color w:val="auto"/>
              </w:rPr>
            </w:pPr>
            <w:r>
              <w:rPr>
                <w:color w:val="auto"/>
              </w:rPr>
              <w:t>练江发源于大南山五尖峰西南部杨梅坪村，出寒妈水库后入潮汕平原，水流平缓，河槽调蓄能力小，较大的蓄水功能工程较少，径流直接入海。目前该水域主要功能为发电、农业灌溉、排洪及排污。练江全长77.12km，坡降0.89‰，集水面积1346km</w:t>
            </w:r>
            <w:r>
              <w:rPr>
                <w:color w:val="auto"/>
                <w:vertAlign w:val="superscript"/>
              </w:rPr>
              <w:t>2</w:t>
            </w:r>
            <w:r>
              <w:rPr>
                <w:color w:val="auto"/>
              </w:rPr>
              <w:t>。练江流经普宁市区段称流沙新河，东流入潮阳市，经海门出水闸出南海，在普宁市境内主流长29.8km，集水面积508.13km</w:t>
            </w:r>
            <w:r>
              <w:rPr>
                <w:color w:val="auto"/>
                <w:vertAlign w:val="superscript"/>
              </w:rPr>
              <w:t>2</w:t>
            </w:r>
            <w:r>
              <w:rPr>
                <w:color w:val="auto"/>
              </w:rPr>
              <w:t>。多年平均径流深自东向西在700~1400mm之间，全流域多年平均地表水资源量14.03亿m</w:t>
            </w:r>
            <w:r>
              <w:rPr>
                <w:color w:val="auto"/>
                <w:vertAlign w:val="superscript"/>
              </w:rPr>
              <w:t>3</w:t>
            </w:r>
            <w:r>
              <w:rPr>
                <w:color w:val="auto"/>
              </w:rPr>
              <w:t>/a，其中普宁市多年平均径流量为5.874亿m</w:t>
            </w:r>
            <w:r>
              <w:rPr>
                <w:color w:val="auto"/>
                <w:vertAlign w:val="superscript"/>
              </w:rPr>
              <w:t>3</w:t>
            </w:r>
            <w:r>
              <w:rPr>
                <w:color w:val="auto"/>
              </w:rPr>
              <w:t>/a。练江源短流急，支流多达17条，均匀分布于主流南北，且流向多与主流垂直，形如宽阔叶脉，各支流源流都很短小，一般只有二三十公里。普宁市境内汇入练江的主要支流有北港水、汤坑溪和白马溪。汤坑溪上游有白沙溪水库和汤坑水库，白马溪上游有三坑水库(上下两库串联)。</w:t>
            </w:r>
          </w:p>
          <w:p>
            <w:pPr>
              <w:pStyle w:val="221"/>
              <w:ind w:left="0" w:firstLine="0"/>
              <w:rPr>
                <w:rFonts w:hAnsi="Times New Roman"/>
                <w:color w:val="auto"/>
              </w:rPr>
            </w:pPr>
            <w:r>
              <w:rPr>
                <w:rFonts w:hAnsi="Times New Roman"/>
                <w:color w:val="auto"/>
              </w:rPr>
              <w:t>5、</w:t>
            </w:r>
            <w:bookmarkEnd w:id="27"/>
            <w:bookmarkEnd w:id="28"/>
            <w:bookmarkEnd w:id="29"/>
            <w:bookmarkEnd w:id="30"/>
            <w:r>
              <w:rPr>
                <w:rFonts w:hAnsi="Times New Roman"/>
                <w:color w:val="auto"/>
              </w:rPr>
              <w:t>自然资源</w:t>
            </w:r>
            <w:bookmarkEnd w:id="31"/>
            <w:bookmarkEnd w:id="32"/>
          </w:p>
          <w:p>
            <w:pPr>
              <w:spacing w:line="360" w:lineRule="auto"/>
              <w:ind w:firstLine="480"/>
              <w:rPr>
                <w:color w:val="auto"/>
                <w:sz w:val="24"/>
              </w:rPr>
            </w:pPr>
            <w:r>
              <w:rPr>
                <w:color w:val="auto"/>
                <w:sz w:val="24"/>
              </w:rPr>
              <w:t>普宁市自然资源比较丰富，全市河流总长1097.5km，年均径流量62亿m</w:t>
            </w:r>
            <w:r>
              <w:rPr>
                <w:color w:val="auto"/>
                <w:sz w:val="24"/>
                <w:vertAlign w:val="superscript"/>
              </w:rPr>
              <w:t>3</w:t>
            </w:r>
            <w:r>
              <w:rPr>
                <w:color w:val="auto"/>
                <w:sz w:val="24"/>
              </w:rPr>
              <w:t>。水力理论蕴藏量4 4.87万千瓦，其中可开发装机16.22万千瓦，约占理论蕴藏量的36.2%。矿产资源丰富，主要有锡、钨、铜、铁、金和甲长石、花岗石、稀土、瓷土等。全市现有森林蓄积量325.5万m</w:t>
            </w:r>
            <w:r>
              <w:rPr>
                <w:color w:val="auto"/>
                <w:sz w:val="24"/>
                <w:vertAlign w:val="superscript"/>
              </w:rPr>
              <w:t>3</w:t>
            </w:r>
            <w:r>
              <w:rPr>
                <w:color w:val="auto"/>
                <w:sz w:val="24"/>
              </w:rPr>
              <w:t>，森林覆盖率46.9%。植物种类1130多种，其中稀有植物20多种，如乌相、桧树等。珍稀动物15种，如巨蜥（五爪金龙）、大鲵（娃娃鱼）、穿山甲、果子狸等。名贵水产品有龙虾、青屿蟹、石斑鱼、鲍鱼等。</w:t>
            </w:r>
          </w:p>
          <w:p>
            <w:pPr>
              <w:spacing w:line="360" w:lineRule="auto"/>
              <w:rPr>
                <w:color w:val="auto"/>
                <w:sz w:val="24"/>
              </w:rPr>
            </w:pPr>
            <w:r>
              <w:rPr>
                <w:color w:val="auto"/>
                <w:sz w:val="24"/>
              </w:rPr>
              <w:t>区域四季常绿，热带成份比例较大。主要经济作物有香蕉、柑桔、龙眼、笋竹等。山环水绕，有相当丰富的动物和鱼类。矿产资源丰富，主要有磁矿、锡矿、高岭土、稀土矿、钨矿等。</w:t>
            </w: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p>
            <w:pPr>
              <w:pStyle w:val="2"/>
              <w:ind w:firstLine="0" w:firstLineChars="0"/>
              <w:rPr>
                <w:color w:val="auto"/>
              </w:rPr>
            </w:pPr>
          </w:p>
        </w:tc>
      </w:tr>
    </w:tbl>
    <w:p>
      <w:pPr>
        <w:ind w:firstLine="420"/>
        <w:rPr>
          <w:color w:val="auto"/>
          <w:sz w:val="24"/>
        </w:rPr>
        <w:sectPr>
          <w:pgSz w:w="11906" w:h="16838"/>
          <w:pgMar w:top="1440" w:right="1440" w:bottom="1440" w:left="1440" w:header="851" w:footer="992" w:gutter="0"/>
          <w:cols w:space="720" w:num="1"/>
          <w:docGrid w:linePitch="312" w:charSpace="0"/>
        </w:sectPr>
      </w:pPr>
    </w:p>
    <w:tbl>
      <w:tblPr>
        <w:tblStyle w:val="29"/>
        <w:tblW w:w="927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27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647" w:hRule="atLeast"/>
        </w:trPr>
        <w:tc>
          <w:tcPr>
            <w:tcW w:w="9273" w:type="dxa"/>
          </w:tcPr>
          <w:p>
            <w:pPr>
              <w:spacing w:line="360" w:lineRule="auto"/>
              <w:rPr>
                <w:b/>
                <w:bCs/>
                <w:color w:val="auto"/>
                <w:sz w:val="24"/>
              </w:rPr>
            </w:pPr>
            <w:bookmarkStart w:id="33" w:name="_Toc486115177"/>
            <w:bookmarkStart w:id="34" w:name="_Toc486252304"/>
            <w:r>
              <w:rPr>
                <w:b/>
                <w:bCs/>
                <w:color w:val="auto"/>
                <w:sz w:val="24"/>
              </w:rPr>
              <w:t>社会环境简况（社会经济结构、教育、文化、文物保护等）：</w:t>
            </w:r>
            <w:bookmarkEnd w:id="33"/>
            <w:bookmarkEnd w:id="34"/>
          </w:p>
          <w:p>
            <w:pPr>
              <w:spacing w:line="360" w:lineRule="auto"/>
              <w:rPr>
                <w:b/>
                <w:bCs/>
                <w:color w:val="auto"/>
                <w:sz w:val="24"/>
                <w:szCs w:val="32"/>
              </w:rPr>
            </w:pPr>
            <w:r>
              <w:rPr>
                <w:b/>
                <w:bCs/>
                <w:color w:val="auto"/>
                <w:sz w:val="24"/>
                <w:szCs w:val="32"/>
              </w:rPr>
              <w:t>1、行政区划与人口</w:t>
            </w:r>
          </w:p>
          <w:p>
            <w:pPr>
              <w:pStyle w:val="99"/>
              <w:adjustRightInd/>
              <w:spacing w:line="355" w:lineRule="auto"/>
              <w:ind w:firstLine="480" w:firstLineChars="200"/>
              <w:rPr>
                <w:rFonts w:eastAsia="宋体"/>
                <w:color w:val="auto"/>
                <w:sz w:val="24"/>
              </w:rPr>
            </w:pPr>
            <w:r>
              <w:rPr>
                <w:rFonts w:eastAsia="宋体"/>
                <w:color w:val="auto"/>
                <w:sz w:val="24"/>
              </w:rPr>
              <w:t>普宁市位于广东省东南部、潮汕平原西缘，东毗汕头市潮南区，南邻惠来县，西南连陆丰市、陆河县，西北接揭西县，东北界榕城区。在东经115°43′10″～116°21′02″，北纬23°05′40″～23°31′48″之间。北回归线从市境北部通过。属南亚热带季风气候。</w:t>
            </w:r>
          </w:p>
          <w:p>
            <w:pPr>
              <w:pStyle w:val="99"/>
              <w:adjustRightInd/>
              <w:spacing w:line="355" w:lineRule="auto"/>
              <w:rPr>
                <w:rFonts w:eastAsia="宋体"/>
                <w:color w:val="auto"/>
                <w:sz w:val="24"/>
              </w:rPr>
            </w:pPr>
            <w:r>
              <w:rPr>
                <w:rFonts w:hint="eastAsia" w:eastAsia="宋体"/>
                <w:color w:val="auto"/>
                <w:sz w:val="24"/>
              </w:rPr>
              <w:t>　　</w:t>
            </w:r>
            <w:r>
              <w:rPr>
                <w:rFonts w:eastAsia="宋体"/>
                <w:color w:val="auto"/>
                <w:sz w:val="24"/>
              </w:rPr>
              <w:t>普宁市面积</w:t>
            </w:r>
            <w:r>
              <w:rPr>
                <w:rFonts w:hint="eastAsia" w:eastAsia="宋体"/>
                <w:color w:val="auto"/>
                <w:sz w:val="24"/>
              </w:rPr>
              <w:t>1620.05平方</w:t>
            </w:r>
            <w:r>
              <w:rPr>
                <w:rFonts w:eastAsia="宋体"/>
                <w:color w:val="auto"/>
                <w:sz w:val="24"/>
              </w:rPr>
              <w:t>公里，折</w:t>
            </w:r>
            <w:r>
              <w:rPr>
                <w:rFonts w:hint="eastAsia" w:eastAsia="宋体"/>
                <w:color w:val="auto"/>
                <w:sz w:val="24"/>
              </w:rPr>
              <w:t>243.01万</w:t>
            </w:r>
            <w:r>
              <w:rPr>
                <w:rFonts w:eastAsia="宋体"/>
                <w:color w:val="auto"/>
                <w:sz w:val="24"/>
              </w:rPr>
              <w:t>亩，其中耕地</w:t>
            </w:r>
            <w:r>
              <w:rPr>
                <w:rFonts w:hint="eastAsia" w:eastAsia="宋体"/>
                <w:color w:val="auto"/>
                <w:sz w:val="24"/>
              </w:rPr>
              <w:t>49.63万</w:t>
            </w:r>
            <w:r>
              <w:rPr>
                <w:rFonts w:eastAsia="宋体"/>
                <w:color w:val="auto"/>
                <w:sz w:val="24"/>
              </w:rPr>
              <w:t>亩，占</w:t>
            </w:r>
            <w:r>
              <w:rPr>
                <w:rFonts w:hint="eastAsia" w:eastAsia="宋体"/>
                <w:color w:val="auto"/>
                <w:sz w:val="24"/>
              </w:rPr>
              <w:t>20.42%；</w:t>
            </w:r>
            <w:r>
              <w:rPr>
                <w:rFonts w:eastAsia="宋体"/>
                <w:color w:val="auto"/>
                <w:sz w:val="24"/>
              </w:rPr>
              <w:t>山地</w:t>
            </w:r>
            <w:r>
              <w:rPr>
                <w:rFonts w:hint="eastAsia" w:eastAsia="宋体"/>
                <w:color w:val="auto"/>
                <w:sz w:val="24"/>
              </w:rPr>
              <w:t>100.40万</w:t>
            </w:r>
            <w:r>
              <w:rPr>
                <w:rFonts w:eastAsia="宋体"/>
                <w:color w:val="auto"/>
                <w:sz w:val="24"/>
              </w:rPr>
              <w:t>亩（</w:t>
            </w:r>
            <w:r>
              <w:rPr>
                <w:rFonts w:hint="eastAsia" w:eastAsia="宋体"/>
                <w:color w:val="auto"/>
                <w:sz w:val="24"/>
              </w:rPr>
              <w:t>林业</w:t>
            </w:r>
            <w:r>
              <w:rPr>
                <w:rFonts w:eastAsia="宋体"/>
                <w:color w:val="auto"/>
                <w:sz w:val="24"/>
              </w:rPr>
              <w:t>用地，不含侨场）</w:t>
            </w:r>
            <w:r>
              <w:rPr>
                <w:rFonts w:hint="eastAsia" w:eastAsia="宋体"/>
                <w:color w:val="auto"/>
                <w:sz w:val="24"/>
              </w:rPr>
              <w:t>，</w:t>
            </w:r>
            <w:r>
              <w:rPr>
                <w:rFonts w:eastAsia="宋体"/>
                <w:color w:val="auto"/>
                <w:sz w:val="24"/>
              </w:rPr>
              <w:t>占</w:t>
            </w:r>
            <w:r>
              <w:rPr>
                <w:rFonts w:hint="eastAsia" w:eastAsia="宋体"/>
                <w:color w:val="auto"/>
                <w:sz w:val="24"/>
              </w:rPr>
              <w:t>41.32%。</w:t>
            </w:r>
          </w:p>
          <w:p>
            <w:pPr>
              <w:pStyle w:val="99"/>
              <w:adjustRightInd/>
              <w:spacing w:line="355" w:lineRule="auto"/>
              <w:ind w:firstLine="480" w:firstLineChars="200"/>
              <w:rPr>
                <w:rFonts w:eastAsia="宋体"/>
                <w:color w:val="auto"/>
                <w:sz w:val="24"/>
              </w:rPr>
            </w:pPr>
            <w:r>
              <w:rPr>
                <w:rFonts w:eastAsia="宋体"/>
                <w:color w:val="auto"/>
                <w:sz w:val="24"/>
              </w:rPr>
              <w:t>普宁市全市共辖7个街道、17个镇、3个国营农场、1个乡，共有518个村委会、50个社区。</w:t>
            </w:r>
          </w:p>
          <w:p>
            <w:pPr>
              <w:pStyle w:val="151"/>
              <w:ind w:left="0" w:firstLine="0"/>
              <w:rPr>
                <w:b/>
                <w:bCs/>
                <w:color w:val="auto"/>
              </w:rPr>
            </w:pPr>
            <w:r>
              <w:rPr>
                <w:b/>
                <w:bCs/>
                <w:color w:val="auto"/>
              </w:rPr>
              <w:t>2、</w:t>
            </w:r>
            <w:r>
              <w:rPr>
                <w:rFonts w:hint="eastAsia"/>
                <w:b/>
                <w:bCs/>
                <w:color w:val="auto"/>
              </w:rPr>
              <w:t>人口</w:t>
            </w:r>
            <w:r>
              <w:rPr>
                <w:b/>
                <w:bCs/>
                <w:color w:val="auto"/>
              </w:rPr>
              <w:t>状况</w:t>
            </w:r>
          </w:p>
          <w:p>
            <w:pPr>
              <w:pStyle w:val="99"/>
              <w:adjustRightInd/>
              <w:spacing w:line="355" w:lineRule="auto"/>
              <w:ind w:firstLine="480" w:firstLineChars="200"/>
              <w:rPr>
                <w:rFonts w:eastAsia="宋体"/>
                <w:color w:val="auto"/>
                <w:sz w:val="24"/>
              </w:rPr>
            </w:pPr>
            <w:r>
              <w:rPr>
                <w:rFonts w:hint="eastAsia" w:eastAsia="宋体"/>
                <w:color w:val="auto"/>
                <w:sz w:val="24"/>
              </w:rPr>
              <w:t>普宁</w:t>
            </w:r>
            <w:r>
              <w:rPr>
                <w:rFonts w:eastAsia="宋体"/>
                <w:color w:val="auto"/>
                <w:sz w:val="24"/>
              </w:rPr>
              <w:t>市是全国第一人口大县（</w:t>
            </w:r>
            <w:r>
              <w:rPr>
                <w:rFonts w:hint="eastAsia" w:eastAsia="宋体"/>
                <w:color w:val="auto"/>
                <w:sz w:val="24"/>
              </w:rPr>
              <w:t>市</w:t>
            </w:r>
            <w:r>
              <w:rPr>
                <w:rFonts w:eastAsia="宋体"/>
                <w:color w:val="auto"/>
                <w:sz w:val="24"/>
              </w:rPr>
              <w:t>）</w:t>
            </w:r>
            <w:r>
              <w:rPr>
                <w:rFonts w:hint="eastAsia" w:eastAsia="宋体"/>
                <w:color w:val="auto"/>
                <w:sz w:val="24"/>
              </w:rPr>
              <w:t>，</w:t>
            </w:r>
            <w:r>
              <w:rPr>
                <w:rFonts w:eastAsia="宋体"/>
                <w:color w:val="auto"/>
                <w:sz w:val="24"/>
              </w:rPr>
              <w:t>全市户籍人中</w:t>
            </w:r>
            <w:r>
              <w:rPr>
                <w:rFonts w:hint="eastAsia" w:eastAsia="宋体"/>
                <w:color w:val="auto"/>
                <w:sz w:val="24"/>
              </w:rPr>
              <w:t>246.25万</w:t>
            </w:r>
            <w:r>
              <w:rPr>
                <w:rFonts w:eastAsia="宋体"/>
                <w:color w:val="auto"/>
                <w:sz w:val="24"/>
              </w:rPr>
              <w:t>人，其中</w:t>
            </w:r>
            <w:r>
              <w:rPr>
                <w:rFonts w:hint="eastAsia" w:eastAsia="宋体"/>
                <w:color w:val="auto"/>
                <w:sz w:val="24"/>
              </w:rPr>
              <w:t>城镇</w:t>
            </w:r>
            <w:r>
              <w:rPr>
                <w:rFonts w:eastAsia="宋体"/>
                <w:color w:val="auto"/>
                <w:sz w:val="24"/>
              </w:rPr>
              <w:t>人口</w:t>
            </w:r>
            <w:r>
              <w:rPr>
                <w:rFonts w:hint="eastAsia" w:eastAsia="宋体"/>
                <w:color w:val="auto"/>
                <w:sz w:val="24"/>
              </w:rPr>
              <w:t>110.38万</w:t>
            </w:r>
            <w:r>
              <w:rPr>
                <w:rFonts w:eastAsia="宋体"/>
                <w:color w:val="auto"/>
                <w:sz w:val="24"/>
              </w:rPr>
              <w:t>人，市区常住人口</w:t>
            </w:r>
            <w:r>
              <w:rPr>
                <w:rFonts w:hint="eastAsia" w:eastAsia="宋体"/>
                <w:color w:val="auto"/>
                <w:sz w:val="24"/>
              </w:rPr>
              <w:t>57.39万</w:t>
            </w:r>
            <w:r>
              <w:rPr>
                <w:rFonts w:eastAsia="宋体"/>
                <w:color w:val="auto"/>
                <w:sz w:val="24"/>
              </w:rPr>
              <w:t>人。</w:t>
            </w:r>
          </w:p>
          <w:p>
            <w:pPr>
              <w:pStyle w:val="151"/>
              <w:ind w:left="0" w:firstLine="0"/>
              <w:rPr>
                <w:b/>
                <w:bCs/>
                <w:color w:val="auto"/>
              </w:rPr>
            </w:pPr>
            <w:r>
              <w:rPr>
                <w:b/>
                <w:bCs/>
                <w:color w:val="auto"/>
              </w:rPr>
              <w:t>3、交通条件</w:t>
            </w:r>
          </w:p>
          <w:p>
            <w:pPr>
              <w:pStyle w:val="99"/>
              <w:adjustRightInd/>
              <w:spacing w:line="355" w:lineRule="auto"/>
              <w:ind w:firstLine="480" w:firstLineChars="200"/>
              <w:rPr>
                <w:rFonts w:eastAsia="宋体"/>
                <w:color w:val="auto"/>
                <w:sz w:val="24"/>
              </w:rPr>
            </w:pPr>
            <w:r>
              <w:rPr>
                <w:rFonts w:eastAsia="宋体"/>
                <w:color w:val="auto"/>
                <w:sz w:val="24"/>
              </w:rPr>
              <w:t>普宁市境内公路以市区为中心，</w:t>
            </w:r>
            <w:r>
              <w:rPr>
                <w:rFonts w:hint="eastAsia" w:eastAsia="宋体"/>
                <w:color w:val="auto"/>
                <w:sz w:val="24"/>
              </w:rPr>
              <w:t>高铁</w:t>
            </w:r>
            <w:r>
              <w:rPr>
                <w:rFonts w:eastAsia="宋体"/>
                <w:color w:val="auto"/>
                <w:sz w:val="24"/>
              </w:rPr>
              <w:t>站、高速公路、国道、</w:t>
            </w:r>
            <w:r>
              <w:rPr>
                <w:rFonts w:hint="eastAsia" w:eastAsia="宋体"/>
                <w:color w:val="auto"/>
                <w:sz w:val="24"/>
              </w:rPr>
              <w:t>省</w:t>
            </w:r>
            <w:r>
              <w:rPr>
                <w:rFonts w:eastAsia="宋体"/>
                <w:color w:val="auto"/>
                <w:sz w:val="24"/>
              </w:rPr>
              <w:t>道为主轴</w:t>
            </w:r>
            <w:r>
              <w:rPr>
                <w:rFonts w:hint="eastAsia" w:eastAsia="宋体"/>
                <w:color w:val="auto"/>
                <w:sz w:val="24"/>
              </w:rPr>
              <w:t>，</w:t>
            </w:r>
            <w:r>
              <w:rPr>
                <w:rFonts w:eastAsia="宋体"/>
                <w:color w:val="auto"/>
                <w:sz w:val="24"/>
              </w:rPr>
              <w:t>县道为基干，水泥公路延伸到各乡镇村庄的交通网络。</w:t>
            </w:r>
            <w:r>
              <w:rPr>
                <w:rFonts w:hint="eastAsia" w:eastAsia="宋体"/>
                <w:color w:val="auto"/>
                <w:sz w:val="24"/>
              </w:rPr>
              <w:t>厦</w:t>
            </w:r>
            <w:r>
              <w:rPr>
                <w:rFonts w:eastAsia="宋体"/>
                <w:color w:val="auto"/>
                <w:sz w:val="24"/>
              </w:rPr>
              <w:t>深高速铁路在</w:t>
            </w:r>
            <w:r>
              <w:rPr>
                <w:rFonts w:hint="eastAsia" w:eastAsia="宋体"/>
                <w:color w:val="auto"/>
                <w:sz w:val="24"/>
              </w:rPr>
              <w:t>市</w:t>
            </w:r>
            <w:r>
              <w:rPr>
                <w:rFonts w:eastAsia="宋体"/>
                <w:color w:val="auto"/>
                <w:sz w:val="24"/>
              </w:rPr>
              <w:t>区南部设普宁站，距深圳、厦门两个特区公两个小时车程。市</w:t>
            </w:r>
            <w:r>
              <w:rPr>
                <w:rFonts w:hint="eastAsia" w:eastAsia="宋体"/>
                <w:color w:val="auto"/>
                <w:sz w:val="24"/>
              </w:rPr>
              <w:t>区距</w:t>
            </w:r>
            <w:r>
              <w:rPr>
                <w:rFonts w:eastAsia="宋体"/>
                <w:color w:val="auto"/>
                <w:sz w:val="24"/>
              </w:rPr>
              <w:t>揭阳潮汕机场</w:t>
            </w:r>
            <w:r>
              <w:rPr>
                <w:rFonts w:hint="eastAsia" w:eastAsia="宋体"/>
                <w:color w:val="auto"/>
                <w:sz w:val="24"/>
              </w:rPr>
              <w:t>40公里</w:t>
            </w:r>
            <w:r>
              <w:rPr>
                <w:rFonts w:eastAsia="宋体"/>
                <w:color w:val="auto"/>
                <w:sz w:val="24"/>
              </w:rPr>
              <w:t>。本市拥</w:t>
            </w:r>
            <w:r>
              <w:rPr>
                <w:rFonts w:hint="eastAsia" w:eastAsia="宋体"/>
                <w:color w:val="auto"/>
                <w:sz w:val="24"/>
              </w:rPr>
              <w:t>有</w:t>
            </w:r>
            <w:r>
              <w:rPr>
                <w:rFonts w:eastAsia="宋体"/>
                <w:color w:val="auto"/>
                <w:sz w:val="24"/>
              </w:rPr>
              <w:t>深汕、潮</w:t>
            </w:r>
            <w:r>
              <w:rPr>
                <w:rFonts w:hint="eastAsia" w:eastAsia="宋体"/>
                <w:color w:val="auto"/>
                <w:sz w:val="24"/>
              </w:rPr>
              <w:t>惠</w:t>
            </w:r>
            <w:r>
              <w:rPr>
                <w:rFonts w:eastAsia="宋体"/>
                <w:color w:val="auto"/>
                <w:sz w:val="24"/>
              </w:rPr>
              <w:t>、揭惠、汕湛</w:t>
            </w:r>
            <w:r>
              <w:rPr>
                <w:rFonts w:hint="eastAsia" w:eastAsia="宋体"/>
                <w:color w:val="auto"/>
                <w:sz w:val="24"/>
              </w:rPr>
              <w:t>4条</w:t>
            </w:r>
            <w:r>
              <w:rPr>
                <w:rFonts w:eastAsia="宋体"/>
                <w:color w:val="auto"/>
                <w:sz w:val="24"/>
              </w:rPr>
              <w:t>过境高速公路，其中</w:t>
            </w:r>
            <w:r>
              <w:rPr>
                <w:rFonts w:hint="eastAsia" w:eastAsia="宋体"/>
                <w:color w:val="auto"/>
                <w:sz w:val="24"/>
              </w:rPr>
              <w:t>汕</w:t>
            </w:r>
            <w:r>
              <w:rPr>
                <w:rFonts w:eastAsia="宋体"/>
                <w:color w:val="auto"/>
                <w:sz w:val="24"/>
              </w:rPr>
              <w:t>湛</w:t>
            </w:r>
            <w:r>
              <w:rPr>
                <w:rFonts w:hint="eastAsia" w:eastAsia="宋体"/>
                <w:color w:val="auto"/>
                <w:sz w:val="24"/>
              </w:rPr>
              <w:t>高速</w:t>
            </w:r>
            <w:r>
              <w:rPr>
                <w:rFonts w:eastAsia="宋体"/>
                <w:color w:val="auto"/>
                <w:sz w:val="24"/>
              </w:rPr>
              <w:t>公路正在建设中，辖区内已建成和计划建成高速公路出入口将达</w:t>
            </w:r>
            <w:r>
              <w:rPr>
                <w:rFonts w:hint="eastAsia" w:eastAsia="宋体"/>
                <w:color w:val="auto"/>
                <w:sz w:val="24"/>
              </w:rPr>
              <w:t>10个</w:t>
            </w:r>
            <w:r>
              <w:rPr>
                <w:rFonts w:eastAsia="宋体"/>
                <w:color w:val="auto"/>
                <w:sz w:val="24"/>
              </w:rPr>
              <w:t>。全</w:t>
            </w:r>
            <w:r>
              <w:rPr>
                <w:rFonts w:hint="eastAsia" w:eastAsia="宋体"/>
                <w:color w:val="auto"/>
                <w:sz w:val="24"/>
              </w:rPr>
              <w:t>市</w:t>
            </w:r>
            <w:r>
              <w:rPr>
                <w:rFonts w:eastAsia="宋体"/>
                <w:color w:val="auto"/>
                <w:sz w:val="24"/>
              </w:rPr>
              <w:t>公路总里程</w:t>
            </w:r>
            <w:r>
              <w:rPr>
                <w:rFonts w:hint="eastAsia" w:eastAsia="宋体"/>
                <w:color w:val="auto"/>
                <w:sz w:val="24"/>
              </w:rPr>
              <w:t>2484.87公里</w:t>
            </w:r>
            <w:r>
              <w:rPr>
                <w:rFonts w:eastAsia="宋体"/>
                <w:color w:val="auto"/>
                <w:sz w:val="24"/>
              </w:rPr>
              <w:t>，其中</w:t>
            </w:r>
            <w:r>
              <w:rPr>
                <w:rFonts w:hint="eastAsia" w:eastAsia="宋体"/>
                <w:color w:val="auto"/>
                <w:sz w:val="24"/>
              </w:rPr>
              <w:t>高速</w:t>
            </w:r>
            <w:r>
              <w:rPr>
                <w:rFonts w:eastAsia="宋体"/>
                <w:color w:val="auto"/>
                <w:sz w:val="24"/>
              </w:rPr>
              <w:t>公路</w:t>
            </w:r>
            <w:r>
              <w:rPr>
                <w:rFonts w:hint="eastAsia" w:eastAsia="宋体"/>
                <w:color w:val="auto"/>
                <w:sz w:val="24"/>
              </w:rPr>
              <w:t>78.33公里，</w:t>
            </w:r>
            <w:r>
              <w:rPr>
                <w:rFonts w:eastAsia="宋体"/>
                <w:color w:val="auto"/>
                <w:sz w:val="24"/>
              </w:rPr>
              <w:t>省道</w:t>
            </w:r>
            <w:r>
              <w:rPr>
                <w:rFonts w:hint="eastAsia" w:eastAsia="宋体"/>
                <w:color w:val="auto"/>
                <w:sz w:val="24"/>
              </w:rPr>
              <w:t>57.4公里</w:t>
            </w:r>
            <w:r>
              <w:rPr>
                <w:rFonts w:eastAsia="宋体"/>
                <w:color w:val="auto"/>
                <w:sz w:val="24"/>
              </w:rPr>
              <w:t>，县道</w:t>
            </w:r>
            <w:r>
              <w:rPr>
                <w:rFonts w:hint="eastAsia" w:eastAsia="宋体"/>
                <w:color w:val="auto"/>
                <w:sz w:val="24"/>
              </w:rPr>
              <w:t>75.39公里</w:t>
            </w:r>
            <w:r>
              <w:rPr>
                <w:rFonts w:eastAsia="宋体"/>
                <w:color w:val="auto"/>
                <w:sz w:val="24"/>
              </w:rPr>
              <w:t>，乡村道</w:t>
            </w:r>
            <w:r>
              <w:rPr>
                <w:rFonts w:hint="eastAsia" w:eastAsia="宋体"/>
                <w:color w:val="auto"/>
                <w:sz w:val="24"/>
              </w:rPr>
              <w:t>1668.89公里</w:t>
            </w:r>
            <w:r>
              <w:rPr>
                <w:rFonts w:eastAsia="宋体"/>
                <w:color w:val="auto"/>
                <w:sz w:val="24"/>
              </w:rPr>
              <w:t>。</w:t>
            </w:r>
          </w:p>
          <w:p>
            <w:pPr>
              <w:pStyle w:val="151"/>
              <w:ind w:left="0" w:firstLine="0"/>
              <w:rPr>
                <w:b/>
                <w:bCs/>
                <w:color w:val="auto"/>
              </w:rPr>
            </w:pPr>
            <w:r>
              <w:rPr>
                <w:b/>
                <w:bCs/>
                <w:color w:val="auto"/>
              </w:rPr>
              <w:t>4、</w:t>
            </w:r>
            <w:r>
              <w:rPr>
                <w:rFonts w:hint="eastAsia"/>
                <w:b/>
                <w:bCs/>
                <w:color w:val="auto"/>
              </w:rPr>
              <w:t>商贸</w:t>
            </w:r>
            <w:r>
              <w:rPr>
                <w:b/>
                <w:bCs/>
                <w:color w:val="auto"/>
              </w:rPr>
              <w:t>活跃</w:t>
            </w:r>
          </w:p>
          <w:p>
            <w:pPr>
              <w:pStyle w:val="99"/>
              <w:adjustRightInd/>
              <w:spacing w:line="355" w:lineRule="auto"/>
              <w:ind w:firstLine="480" w:firstLineChars="200"/>
              <w:rPr>
                <w:rFonts w:eastAsia="宋体"/>
                <w:color w:val="auto"/>
                <w:sz w:val="24"/>
              </w:rPr>
            </w:pPr>
            <w:r>
              <w:rPr>
                <w:rFonts w:hint="eastAsia" w:eastAsia="宋体"/>
                <w:color w:val="auto"/>
                <w:sz w:val="24"/>
              </w:rPr>
              <w:t>普</w:t>
            </w:r>
            <w:r>
              <w:rPr>
                <w:rFonts w:eastAsia="宋体"/>
                <w:color w:val="auto"/>
                <w:sz w:val="24"/>
              </w:rPr>
              <w:t>宁是国内外有较强影响力的商贸名城，尤以服装、中药材、茶叶、水果等十大专业市场蜚声海</w:t>
            </w:r>
            <w:r>
              <w:rPr>
                <w:rFonts w:hint="eastAsia" w:eastAsia="宋体"/>
                <w:color w:val="auto"/>
                <w:sz w:val="24"/>
              </w:rPr>
              <w:t>内</w:t>
            </w:r>
            <w:r>
              <w:rPr>
                <w:rFonts w:eastAsia="宋体"/>
                <w:color w:val="auto"/>
                <w:sz w:val="24"/>
              </w:rPr>
              <w:t>外。拥有</w:t>
            </w:r>
            <w:r>
              <w:rPr>
                <w:rFonts w:hint="eastAsia" w:eastAsia="宋体"/>
                <w:color w:val="auto"/>
                <w:sz w:val="24"/>
              </w:rPr>
              <w:t>康</w:t>
            </w:r>
            <w:r>
              <w:rPr>
                <w:rFonts w:eastAsia="宋体"/>
                <w:color w:val="auto"/>
                <w:sz w:val="24"/>
              </w:rPr>
              <w:t>美</w:t>
            </w:r>
            <w:r>
              <w:rPr>
                <w:rFonts w:hint="eastAsia" w:eastAsia="宋体"/>
                <w:color w:val="auto"/>
                <w:sz w:val="24"/>
              </w:rPr>
              <w:t>中</w:t>
            </w:r>
            <w:r>
              <w:rPr>
                <w:rFonts w:eastAsia="宋体"/>
                <w:color w:val="auto"/>
                <w:sz w:val="24"/>
              </w:rPr>
              <w:t>药材专来市场、普宁国际服装城、普宁国际商品城等一</w:t>
            </w:r>
            <w:r>
              <w:rPr>
                <w:rFonts w:hint="eastAsia" w:eastAsia="宋体"/>
                <w:color w:val="auto"/>
                <w:sz w:val="24"/>
              </w:rPr>
              <w:t>批</w:t>
            </w:r>
            <w:r>
              <w:rPr>
                <w:rFonts w:eastAsia="宋体"/>
                <w:color w:val="auto"/>
                <w:sz w:val="24"/>
              </w:rPr>
              <w:t>大型商贸市场。其中</w:t>
            </w:r>
            <w:r>
              <w:rPr>
                <w:rFonts w:hint="eastAsia" w:eastAsia="宋体"/>
                <w:color w:val="auto"/>
                <w:sz w:val="24"/>
              </w:rPr>
              <w:t>康</w:t>
            </w:r>
            <w:r>
              <w:rPr>
                <w:rFonts w:eastAsia="宋体"/>
                <w:color w:val="auto"/>
                <w:sz w:val="24"/>
              </w:rPr>
              <w:t>美</w:t>
            </w:r>
            <w:r>
              <w:rPr>
                <w:rFonts w:hint="eastAsia" w:eastAsia="宋体"/>
                <w:color w:val="auto"/>
                <w:sz w:val="24"/>
              </w:rPr>
              <w:t>中</w:t>
            </w:r>
            <w:r>
              <w:rPr>
                <w:rFonts w:eastAsia="宋体"/>
                <w:color w:val="auto"/>
                <w:sz w:val="24"/>
              </w:rPr>
              <w:t>药材专业市场是全国</w:t>
            </w:r>
            <w:r>
              <w:rPr>
                <w:rFonts w:hint="eastAsia" w:eastAsia="宋体"/>
                <w:color w:val="auto"/>
                <w:sz w:val="24"/>
              </w:rPr>
              <w:t>17家</w:t>
            </w:r>
            <w:r>
              <w:rPr>
                <w:rFonts w:eastAsia="宋体"/>
                <w:color w:val="auto"/>
                <w:sz w:val="24"/>
              </w:rPr>
              <w:t>国家级定点中药材专业市场之一，全国最大的贵细中药材采购中心；中国</w:t>
            </w:r>
            <w:r>
              <w:rPr>
                <w:rFonts w:hint="eastAsia" w:eastAsia="宋体"/>
                <w:color w:val="auto"/>
                <w:sz w:val="24"/>
              </w:rPr>
              <w:t>.普</w:t>
            </w:r>
            <w:r>
              <w:rPr>
                <w:rFonts w:eastAsia="宋体"/>
                <w:color w:val="auto"/>
                <w:sz w:val="24"/>
              </w:rPr>
              <w:t>宁国际服装城是“</w:t>
            </w:r>
            <w:r>
              <w:rPr>
                <w:rFonts w:hint="eastAsia" w:eastAsia="宋体"/>
                <w:color w:val="auto"/>
                <w:sz w:val="24"/>
              </w:rPr>
              <w:t>全</w:t>
            </w:r>
            <w:r>
              <w:rPr>
                <w:rFonts w:eastAsia="宋体"/>
                <w:color w:val="auto"/>
                <w:sz w:val="24"/>
              </w:rPr>
              <w:t>国诚信示范市场”</w:t>
            </w:r>
            <w:r>
              <w:rPr>
                <w:rFonts w:hint="eastAsia" w:eastAsia="宋体"/>
                <w:color w:val="auto"/>
                <w:sz w:val="24"/>
              </w:rPr>
              <w:t>、</w:t>
            </w:r>
            <w:r>
              <w:rPr>
                <w:rFonts w:eastAsia="宋体"/>
                <w:color w:val="auto"/>
                <w:sz w:val="24"/>
              </w:rPr>
              <w:t>广东省最大的单体服装批发市场。</w:t>
            </w:r>
            <w:r>
              <w:rPr>
                <w:rFonts w:hint="eastAsia" w:eastAsia="宋体"/>
                <w:color w:val="auto"/>
                <w:sz w:val="24"/>
              </w:rPr>
              <w:t>2</w:t>
            </w:r>
            <w:r>
              <w:rPr>
                <w:rFonts w:eastAsia="宋体"/>
                <w:color w:val="auto"/>
                <w:sz w:val="24"/>
              </w:rPr>
              <w:t>018</w:t>
            </w:r>
            <w:r>
              <w:rPr>
                <w:rFonts w:hint="eastAsia" w:eastAsia="宋体"/>
                <w:color w:val="auto"/>
                <w:sz w:val="24"/>
              </w:rPr>
              <w:t>年</w:t>
            </w:r>
            <w:r>
              <w:rPr>
                <w:rFonts w:eastAsia="宋体"/>
                <w:color w:val="auto"/>
                <w:sz w:val="24"/>
              </w:rPr>
              <w:t>全市电子商务交易额</w:t>
            </w:r>
            <w:r>
              <w:rPr>
                <w:rFonts w:hint="eastAsia" w:eastAsia="宋体"/>
                <w:color w:val="auto"/>
                <w:sz w:val="24"/>
              </w:rPr>
              <w:t>463.69亿</w:t>
            </w:r>
            <w:r>
              <w:rPr>
                <w:rFonts w:eastAsia="宋体"/>
                <w:color w:val="auto"/>
                <w:sz w:val="24"/>
              </w:rPr>
              <w:t>元，增长</w:t>
            </w:r>
            <w:r>
              <w:rPr>
                <w:rFonts w:hint="eastAsia" w:eastAsia="宋体"/>
                <w:color w:val="auto"/>
                <w:sz w:val="24"/>
              </w:rPr>
              <w:t>9.8%，</w:t>
            </w:r>
            <w:r>
              <w:rPr>
                <w:rFonts w:eastAsia="宋体"/>
                <w:color w:val="auto"/>
                <w:sz w:val="24"/>
              </w:rPr>
              <w:t>其中</w:t>
            </w:r>
            <w:r>
              <w:rPr>
                <w:rFonts w:hint="eastAsia" w:eastAsia="宋体"/>
                <w:color w:val="auto"/>
                <w:sz w:val="24"/>
              </w:rPr>
              <w:t>跨</w:t>
            </w:r>
            <w:r>
              <w:rPr>
                <w:rFonts w:eastAsia="宋体"/>
                <w:color w:val="auto"/>
                <w:sz w:val="24"/>
              </w:rPr>
              <w:t>境电商交易额</w:t>
            </w:r>
            <w:r>
              <w:rPr>
                <w:rFonts w:hint="eastAsia" w:eastAsia="宋体"/>
                <w:color w:val="auto"/>
                <w:sz w:val="24"/>
              </w:rPr>
              <w:t>6785.4万</w:t>
            </w:r>
            <w:r>
              <w:rPr>
                <w:rFonts w:eastAsia="宋体"/>
                <w:color w:val="auto"/>
                <w:sz w:val="24"/>
              </w:rPr>
              <w:t>美元，增长</w:t>
            </w:r>
            <w:r>
              <w:rPr>
                <w:rFonts w:hint="eastAsia" w:eastAsia="宋体"/>
                <w:color w:val="auto"/>
                <w:sz w:val="24"/>
              </w:rPr>
              <w:t>5.2%；</w:t>
            </w:r>
            <w:r>
              <w:rPr>
                <w:rFonts w:eastAsia="宋体"/>
                <w:color w:val="auto"/>
                <w:sz w:val="24"/>
              </w:rPr>
              <w:t>全市支付宝消费能力进入百强榜单；拥有</w:t>
            </w:r>
            <w:r>
              <w:rPr>
                <w:rFonts w:hint="eastAsia" w:eastAsia="宋体"/>
                <w:color w:val="auto"/>
                <w:sz w:val="24"/>
              </w:rPr>
              <w:t>9个</w:t>
            </w:r>
            <w:r>
              <w:rPr>
                <w:rFonts w:eastAsia="宋体"/>
                <w:color w:val="auto"/>
                <w:sz w:val="24"/>
              </w:rPr>
              <w:t>“</w:t>
            </w:r>
            <w:r>
              <w:rPr>
                <w:rFonts w:hint="eastAsia" w:eastAsia="宋体"/>
                <w:color w:val="auto"/>
                <w:sz w:val="24"/>
              </w:rPr>
              <w:t>淘宝</w:t>
            </w:r>
            <w:r>
              <w:rPr>
                <w:rFonts w:eastAsia="宋体"/>
                <w:color w:val="auto"/>
                <w:sz w:val="24"/>
              </w:rPr>
              <w:t>镇”</w:t>
            </w:r>
            <w:r>
              <w:rPr>
                <w:rFonts w:hint="eastAsia" w:eastAsia="宋体"/>
                <w:color w:val="auto"/>
                <w:sz w:val="24"/>
              </w:rPr>
              <w:t>、64个</w:t>
            </w:r>
            <w:r>
              <w:rPr>
                <w:rFonts w:eastAsia="宋体"/>
                <w:color w:val="auto"/>
                <w:sz w:val="24"/>
              </w:rPr>
              <w:t>“</w:t>
            </w:r>
            <w:r>
              <w:rPr>
                <w:rFonts w:hint="eastAsia" w:eastAsia="宋体"/>
                <w:color w:val="auto"/>
                <w:sz w:val="24"/>
              </w:rPr>
              <w:t>淘宝</w:t>
            </w:r>
            <w:r>
              <w:rPr>
                <w:rFonts w:eastAsia="宋体"/>
                <w:color w:val="auto"/>
                <w:sz w:val="24"/>
              </w:rPr>
              <w:t>村”</w:t>
            </w:r>
            <w:r>
              <w:rPr>
                <w:rFonts w:hint="eastAsia" w:eastAsia="宋体"/>
                <w:color w:val="auto"/>
                <w:sz w:val="24"/>
              </w:rPr>
              <w:t>，</w:t>
            </w:r>
            <w:r>
              <w:rPr>
                <w:rFonts w:eastAsia="宋体"/>
                <w:color w:val="auto"/>
                <w:sz w:val="24"/>
              </w:rPr>
              <w:t>是全国第九、广东最大的淘宝村集群。</w:t>
            </w:r>
          </w:p>
          <w:p>
            <w:pPr>
              <w:pStyle w:val="151"/>
              <w:ind w:left="0" w:firstLine="0"/>
              <w:rPr>
                <w:b/>
                <w:bCs/>
                <w:color w:val="auto"/>
              </w:rPr>
            </w:pPr>
            <w:r>
              <w:rPr>
                <w:b/>
                <w:bCs/>
                <w:color w:val="auto"/>
              </w:rPr>
              <w:t>5、市政配套</w:t>
            </w:r>
          </w:p>
          <w:p>
            <w:pPr>
              <w:pStyle w:val="151"/>
              <w:ind w:left="0" w:firstLine="480" w:firstLineChars="200"/>
              <w:rPr>
                <w:color w:val="auto"/>
              </w:rPr>
            </w:pPr>
            <w:r>
              <w:rPr>
                <w:color w:val="auto"/>
              </w:rPr>
              <w:t>（1）</w:t>
            </w:r>
            <w:r>
              <w:rPr>
                <w:rFonts w:hint="eastAsia"/>
                <w:color w:val="auto"/>
              </w:rPr>
              <w:t>供</w:t>
            </w:r>
            <w:r>
              <w:rPr>
                <w:color w:val="auto"/>
              </w:rPr>
              <w:t>水</w:t>
            </w:r>
          </w:p>
          <w:p>
            <w:pPr>
              <w:pStyle w:val="99"/>
              <w:adjustRightInd/>
              <w:spacing w:line="355" w:lineRule="auto"/>
              <w:ind w:firstLine="480" w:firstLineChars="200"/>
              <w:rPr>
                <w:rFonts w:eastAsia="宋体"/>
                <w:color w:val="auto"/>
                <w:sz w:val="24"/>
              </w:rPr>
            </w:pPr>
            <w:r>
              <w:rPr>
                <w:rFonts w:eastAsia="宋体"/>
                <w:color w:val="auto"/>
                <w:sz w:val="24"/>
              </w:rPr>
              <w:t>榕江、练江、</w:t>
            </w:r>
            <w:r>
              <w:rPr>
                <w:rFonts w:hint="eastAsia" w:eastAsia="宋体"/>
                <w:color w:val="auto"/>
                <w:sz w:val="24"/>
              </w:rPr>
              <w:t>龙</w:t>
            </w:r>
            <w:r>
              <w:rPr>
                <w:rFonts w:eastAsia="宋体"/>
                <w:color w:val="auto"/>
                <w:sz w:val="24"/>
              </w:rPr>
              <w:t>江三大河流</w:t>
            </w:r>
            <w:r>
              <w:rPr>
                <w:rFonts w:hint="eastAsia" w:eastAsia="宋体"/>
                <w:color w:val="auto"/>
                <w:sz w:val="24"/>
              </w:rPr>
              <w:t>穿</w:t>
            </w:r>
            <w:r>
              <w:rPr>
                <w:rFonts w:eastAsia="宋体"/>
                <w:color w:val="auto"/>
                <w:sz w:val="24"/>
              </w:rPr>
              <w:t>境而过，蓄水工程</w:t>
            </w:r>
            <w:r>
              <w:rPr>
                <w:rFonts w:hint="eastAsia" w:eastAsia="宋体"/>
                <w:color w:val="auto"/>
                <w:sz w:val="24"/>
              </w:rPr>
              <w:t>327宗</w:t>
            </w:r>
            <w:r>
              <w:rPr>
                <w:rFonts w:eastAsia="宋体"/>
                <w:color w:val="auto"/>
                <w:sz w:val="24"/>
              </w:rPr>
              <w:t>，有效总库容</w:t>
            </w:r>
            <w:r>
              <w:rPr>
                <w:rFonts w:hint="eastAsia" w:eastAsia="宋体"/>
                <w:color w:val="auto"/>
                <w:sz w:val="24"/>
              </w:rPr>
              <w:t>2.26亿</w:t>
            </w:r>
            <w:r>
              <w:rPr>
                <w:rFonts w:eastAsia="宋体"/>
                <w:color w:val="auto"/>
                <w:sz w:val="24"/>
              </w:rPr>
              <w:t>立方米。拥有</w:t>
            </w:r>
            <w:r>
              <w:rPr>
                <w:rFonts w:hint="eastAsia" w:eastAsia="宋体"/>
                <w:color w:val="auto"/>
                <w:sz w:val="24"/>
              </w:rPr>
              <w:t>大</w:t>
            </w:r>
            <w:r>
              <w:rPr>
                <w:rFonts w:eastAsia="宋体"/>
                <w:color w:val="auto"/>
                <w:sz w:val="24"/>
              </w:rPr>
              <w:t>中型</w:t>
            </w:r>
            <w:r>
              <w:rPr>
                <w:rFonts w:hint="eastAsia" w:eastAsia="宋体"/>
                <w:color w:val="auto"/>
                <w:sz w:val="24"/>
              </w:rPr>
              <w:t>水</w:t>
            </w:r>
            <w:r>
              <w:rPr>
                <w:rFonts w:eastAsia="宋体"/>
                <w:color w:val="auto"/>
                <w:sz w:val="24"/>
              </w:rPr>
              <w:t>厂</w:t>
            </w:r>
            <w:r>
              <w:rPr>
                <w:rFonts w:hint="eastAsia" w:eastAsia="宋体"/>
                <w:color w:val="auto"/>
                <w:sz w:val="24"/>
              </w:rPr>
              <w:t>4座</w:t>
            </w:r>
            <w:r>
              <w:rPr>
                <w:rFonts w:eastAsia="宋体"/>
                <w:color w:val="auto"/>
                <w:sz w:val="24"/>
              </w:rPr>
              <w:t>，总制水能力日产</w:t>
            </w:r>
            <w:r>
              <w:rPr>
                <w:rFonts w:hint="eastAsia" w:eastAsia="宋体"/>
                <w:color w:val="auto"/>
                <w:sz w:val="24"/>
              </w:rPr>
              <w:t>34万</w:t>
            </w:r>
            <w:r>
              <w:rPr>
                <w:rFonts w:eastAsia="宋体"/>
                <w:color w:val="auto"/>
                <w:sz w:val="24"/>
              </w:rPr>
              <w:t>吨。</w:t>
            </w:r>
          </w:p>
          <w:p>
            <w:pPr>
              <w:pStyle w:val="99"/>
              <w:adjustRightInd/>
              <w:spacing w:line="355" w:lineRule="auto"/>
              <w:ind w:firstLine="480" w:firstLineChars="200"/>
              <w:rPr>
                <w:rFonts w:eastAsia="宋体"/>
                <w:color w:val="auto"/>
                <w:sz w:val="24"/>
              </w:rPr>
            </w:pPr>
            <w:r>
              <w:rPr>
                <w:rFonts w:eastAsia="宋体"/>
                <w:color w:val="auto"/>
                <w:sz w:val="24"/>
              </w:rPr>
              <w:t>（2）</w:t>
            </w:r>
            <w:r>
              <w:rPr>
                <w:rFonts w:hint="eastAsia" w:eastAsia="宋体"/>
                <w:color w:val="auto"/>
                <w:sz w:val="24"/>
              </w:rPr>
              <w:t>供</w:t>
            </w:r>
            <w:r>
              <w:rPr>
                <w:rFonts w:eastAsia="宋体"/>
                <w:color w:val="auto"/>
                <w:sz w:val="24"/>
              </w:rPr>
              <w:t>电</w:t>
            </w:r>
          </w:p>
          <w:p>
            <w:pPr>
              <w:pStyle w:val="99"/>
              <w:adjustRightInd/>
              <w:spacing w:line="355" w:lineRule="auto"/>
              <w:ind w:firstLine="480" w:firstLineChars="200"/>
              <w:rPr>
                <w:rFonts w:eastAsia="宋体"/>
                <w:color w:val="auto"/>
                <w:sz w:val="24"/>
              </w:rPr>
            </w:pPr>
            <w:r>
              <w:rPr>
                <w:rFonts w:hint="eastAsia" w:eastAsia="宋体"/>
                <w:color w:val="auto"/>
                <w:sz w:val="24"/>
              </w:rPr>
              <w:t>全市</w:t>
            </w:r>
            <w:r>
              <w:rPr>
                <w:rFonts w:eastAsia="宋体"/>
                <w:color w:val="auto"/>
                <w:sz w:val="24"/>
              </w:rPr>
              <w:t>共有变电站</w:t>
            </w:r>
            <w:r>
              <w:rPr>
                <w:rFonts w:hint="eastAsia" w:eastAsia="宋体"/>
                <w:color w:val="auto"/>
                <w:sz w:val="24"/>
              </w:rPr>
              <w:t>500千</w:t>
            </w:r>
            <w:r>
              <w:rPr>
                <w:rFonts w:eastAsia="宋体"/>
                <w:color w:val="auto"/>
                <w:sz w:val="24"/>
              </w:rPr>
              <w:t>伏</w:t>
            </w:r>
            <w:r>
              <w:rPr>
                <w:rFonts w:hint="eastAsia" w:eastAsia="宋体"/>
                <w:color w:val="auto"/>
                <w:sz w:val="24"/>
              </w:rPr>
              <w:t>1座</w:t>
            </w:r>
            <w:r>
              <w:rPr>
                <w:rFonts w:eastAsia="宋体"/>
                <w:color w:val="auto"/>
                <w:sz w:val="24"/>
              </w:rPr>
              <w:t>、</w:t>
            </w:r>
            <w:r>
              <w:rPr>
                <w:rFonts w:hint="eastAsia" w:eastAsia="宋体"/>
                <w:color w:val="auto"/>
                <w:sz w:val="24"/>
              </w:rPr>
              <w:t>220千</w:t>
            </w:r>
            <w:r>
              <w:rPr>
                <w:rFonts w:eastAsia="宋体"/>
                <w:color w:val="auto"/>
                <w:sz w:val="24"/>
              </w:rPr>
              <w:t>伏</w:t>
            </w:r>
            <w:r>
              <w:rPr>
                <w:rFonts w:hint="eastAsia" w:eastAsia="宋体"/>
                <w:color w:val="auto"/>
                <w:sz w:val="24"/>
              </w:rPr>
              <w:t>4座</w:t>
            </w:r>
            <w:r>
              <w:rPr>
                <w:rFonts w:eastAsia="宋体"/>
                <w:color w:val="auto"/>
                <w:sz w:val="24"/>
              </w:rPr>
              <w:t>、</w:t>
            </w:r>
            <w:r>
              <w:rPr>
                <w:rFonts w:hint="eastAsia" w:eastAsia="宋体"/>
                <w:color w:val="auto"/>
                <w:sz w:val="24"/>
              </w:rPr>
              <w:t>110千</w:t>
            </w:r>
            <w:r>
              <w:rPr>
                <w:rFonts w:eastAsia="宋体"/>
                <w:color w:val="auto"/>
                <w:sz w:val="24"/>
              </w:rPr>
              <w:t>伏</w:t>
            </w:r>
            <w:r>
              <w:rPr>
                <w:rFonts w:hint="eastAsia" w:eastAsia="宋体"/>
                <w:color w:val="auto"/>
                <w:sz w:val="24"/>
              </w:rPr>
              <w:t>16座</w:t>
            </w:r>
            <w:r>
              <w:rPr>
                <w:rFonts w:eastAsia="宋体"/>
                <w:color w:val="auto"/>
                <w:sz w:val="24"/>
              </w:rPr>
              <w:t>，主变总容量</w:t>
            </w:r>
            <w:r>
              <w:rPr>
                <w:rFonts w:hint="eastAsia" w:eastAsia="宋体"/>
                <w:color w:val="auto"/>
                <w:sz w:val="24"/>
              </w:rPr>
              <w:t>339.15万千</w:t>
            </w:r>
            <w:r>
              <w:rPr>
                <w:rFonts w:eastAsia="宋体"/>
                <w:color w:val="auto"/>
                <w:sz w:val="24"/>
              </w:rPr>
              <w:t>伏</w:t>
            </w:r>
            <w:r>
              <w:rPr>
                <w:rFonts w:hint="eastAsia" w:eastAsia="宋体"/>
                <w:color w:val="auto"/>
                <w:sz w:val="24"/>
              </w:rPr>
              <w:t>安</w:t>
            </w:r>
            <w:r>
              <w:rPr>
                <w:rFonts w:eastAsia="宋体"/>
                <w:color w:val="auto"/>
                <w:sz w:val="24"/>
              </w:rPr>
              <w:t>；并网小水电</w:t>
            </w:r>
            <w:r>
              <w:rPr>
                <w:rFonts w:hint="eastAsia" w:eastAsia="宋体"/>
                <w:color w:val="auto"/>
                <w:sz w:val="24"/>
              </w:rPr>
              <w:t>131宗</w:t>
            </w:r>
            <w:r>
              <w:rPr>
                <w:rFonts w:eastAsia="宋体"/>
                <w:color w:val="auto"/>
                <w:sz w:val="24"/>
              </w:rPr>
              <w:t>，总装机容量</w:t>
            </w:r>
            <w:r>
              <w:rPr>
                <w:rFonts w:hint="eastAsia" w:eastAsia="宋体"/>
                <w:color w:val="auto"/>
                <w:sz w:val="24"/>
              </w:rPr>
              <w:t>55350千瓦</w:t>
            </w:r>
            <w:r>
              <w:rPr>
                <w:rFonts w:eastAsia="宋体"/>
                <w:color w:val="auto"/>
                <w:sz w:val="24"/>
              </w:rPr>
              <w:t>，年发电量</w:t>
            </w:r>
            <w:r>
              <w:rPr>
                <w:rFonts w:hint="eastAsia" w:eastAsia="宋体"/>
                <w:color w:val="auto"/>
                <w:sz w:val="24"/>
              </w:rPr>
              <w:t>8560.3273万千瓦</w:t>
            </w:r>
            <w:r>
              <w:rPr>
                <w:rFonts w:eastAsia="宋体"/>
                <w:color w:val="auto"/>
                <w:sz w:val="24"/>
              </w:rPr>
              <w:t>时；电网</w:t>
            </w:r>
            <w:r>
              <w:rPr>
                <w:rFonts w:hint="eastAsia" w:eastAsia="宋体"/>
                <w:color w:val="auto"/>
                <w:sz w:val="24"/>
              </w:rPr>
              <w:t>覆盖率</w:t>
            </w:r>
            <w:r>
              <w:rPr>
                <w:rFonts w:eastAsia="宋体"/>
                <w:color w:val="auto"/>
                <w:sz w:val="24"/>
              </w:rPr>
              <w:t>达</w:t>
            </w:r>
            <w:r>
              <w:rPr>
                <w:rFonts w:hint="eastAsia" w:eastAsia="宋体"/>
                <w:color w:val="auto"/>
                <w:sz w:val="24"/>
              </w:rPr>
              <w:t>100%。</w:t>
            </w:r>
          </w:p>
          <w:p>
            <w:pPr>
              <w:pStyle w:val="99"/>
              <w:adjustRightInd/>
              <w:spacing w:line="355" w:lineRule="auto"/>
              <w:ind w:firstLine="480" w:firstLineChars="200"/>
              <w:rPr>
                <w:rFonts w:eastAsia="宋体"/>
                <w:color w:val="auto"/>
                <w:sz w:val="24"/>
              </w:rPr>
            </w:pPr>
            <w:r>
              <w:rPr>
                <w:rFonts w:eastAsia="宋体"/>
                <w:color w:val="auto"/>
                <w:sz w:val="24"/>
              </w:rPr>
              <w:t>（3）垃圾填埋场情况</w:t>
            </w:r>
          </w:p>
          <w:p>
            <w:pPr>
              <w:pStyle w:val="99"/>
              <w:adjustRightInd/>
              <w:spacing w:line="355" w:lineRule="auto"/>
              <w:ind w:firstLine="480" w:firstLineChars="200"/>
              <w:rPr>
                <w:rFonts w:eastAsia="宋体"/>
                <w:color w:val="auto"/>
                <w:sz w:val="24"/>
              </w:rPr>
            </w:pPr>
            <w:r>
              <w:rPr>
                <w:rFonts w:eastAsia="宋体"/>
                <w:color w:val="auto"/>
                <w:sz w:val="24"/>
              </w:rPr>
              <w:t>普宁市垃圾填埋场位于普宁市云落镇红桥山，距市区中心18km。该垃圾填埋场占山地面积658亩，于2001年11月建成并投入使用，预计使用年限为20年，目前，该场日处理生活垃圾量约420吨，主要收集处理普宁市区的生活垃圾。</w:t>
            </w:r>
          </w:p>
          <w:p>
            <w:pPr>
              <w:pStyle w:val="99"/>
              <w:adjustRightInd/>
              <w:spacing w:line="355" w:lineRule="auto"/>
              <w:ind w:firstLine="480" w:firstLineChars="200"/>
              <w:rPr>
                <w:rFonts w:eastAsia="宋体"/>
                <w:color w:val="auto"/>
                <w:sz w:val="24"/>
              </w:rPr>
            </w:pPr>
            <w:r>
              <w:rPr>
                <w:rFonts w:hint="eastAsia" w:eastAsia="宋体"/>
                <w:color w:val="auto"/>
                <w:sz w:val="24"/>
              </w:rPr>
              <w:t>普宁生活垃圾环保处理中心位于普宁市云落镇云楼水库旁山地，总占地面积约100亩，设计规模为800吨/日，配置2台400吨/日机械炉排焚烧炉和1台凝汽式汽轮发电机组，发电功率为15兆瓦，同时配套建设烟气净化系统、废水处理系统、灰渣处理系统等环保工程，采用焚烧发电方式对普宁市城镇的生活垃圾进行处置。目前项目已投入试运行。</w:t>
            </w:r>
          </w:p>
          <w:p>
            <w:pPr>
              <w:pStyle w:val="228"/>
              <w:numPr>
                <w:ilvl w:val="0"/>
                <w:numId w:val="4"/>
              </w:numPr>
              <w:spacing w:line="360" w:lineRule="auto"/>
              <w:ind w:firstLineChars="0"/>
              <w:rPr>
                <w:b/>
                <w:color w:val="auto"/>
                <w:sz w:val="24"/>
              </w:rPr>
            </w:pPr>
            <w:r>
              <w:rPr>
                <w:rFonts w:hint="eastAsia"/>
                <w:b/>
                <w:color w:val="auto"/>
                <w:kern w:val="0"/>
                <w:szCs w:val="21"/>
              </w:rPr>
              <w:t>占陇</w:t>
            </w:r>
            <w:r>
              <w:rPr>
                <w:b/>
                <w:color w:val="auto"/>
                <w:sz w:val="24"/>
              </w:rPr>
              <w:t>污水处理厂</w:t>
            </w:r>
            <w:r>
              <w:rPr>
                <w:rFonts w:hint="eastAsia"/>
                <w:b/>
                <w:color w:val="auto"/>
                <w:sz w:val="24"/>
              </w:rPr>
              <w:t>概况</w:t>
            </w:r>
          </w:p>
          <w:p>
            <w:pPr>
              <w:pStyle w:val="99"/>
              <w:spacing w:line="355" w:lineRule="auto"/>
              <w:ind w:firstLine="480" w:firstLineChars="200"/>
              <w:rPr>
                <w:rFonts w:eastAsia="宋体"/>
                <w:color w:val="auto"/>
                <w:sz w:val="24"/>
              </w:rPr>
            </w:pPr>
            <w:r>
              <w:rPr>
                <w:rFonts w:hint="eastAsia" w:eastAsia="宋体"/>
                <w:color w:val="auto"/>
                <w:sz w:val="24"/>
              </w:rPr>
              <w:t>占陇污水处理厂地址位于普宁市占陇镇下寨村海仔洋片，地理坐标为E116°15′16″，N23°18′42″，近期纳污范围主要集中于占陇、军埠和下架山三镇中心镇区，远期覆盖整个东部新城，是练江流域综合整治的重要组成部分和流域污染治理的主要措施。占陇污水处理厂厂区一期工程占地面积40000m2，构、建筑物面积9671m2，建设规模为日处理生活污水量5万吨，采用A/A/O微曝氧化沟工艺；配套管网工程内容为D500-D1800截污管长约24.95km。本项目总投资为38500万元，其中一期厂区工程投资14875万元，配套管网工程投资23625万元。</w:t>
            </w:r>
          </w:p>
          <w:p>
            <w:pPr>
              <w:pStyle w:val="99"/>
              <w:adjustRightInd/>
              <w:spacing w:line="355" w:lineRule="auto"/>
              <w:ind w:firstLine="480" w:firstLineChars="200"/>
              <w:rPr>
                <w:rFonts w:eastAsia="宋体"/>
                <w:color w:val="auto"/>
                <w:sz w:val="24"/>
              </w:rPr>
            </w:pPr>
            <w:r>
              <w:rPr>
                <w:rFonts w:hint="eastAsia" w:eastAsia="宋体"/>
                <w:color w:val="auto"/>
                <w:sz w:val="24"/>
              </w:rPr>
              <w:t>占陇污水处理厂出水的水质标准执行广东省地方标准《水污染物排放限值》（DB44/26-2001）第二时段一级标准及《城镇污水处理厂污染物排放标准》（GB18918-2002）一级A标准较严者。根据《练江流域水环境综合整治方案》（2014—2020年）要求，占陇污水处理厂排放标准2020年底前提升至《地表水环境质量标准》(GB3838-2002)V类水水质标准的较严者。水质指标见表2-6所示（括号内为2020年底标准）。</w:t>
            </w:r>
          </w:p>
          <w:p>
            <w:pPr>
              <w:pStyle w:val="99"/>
              <w:adjustRightInd/>
              <w:spacing w:line="355" w:lineRule="auto"/>
              <w:ind w:firstLine="480" w:firstLineChars="200"/>
              <w:rPr>
                <w:rFonts w:eastAsia="宋体"/>
                <w:color w:val="auto"/>
                <w:sz w:val="24"/>
              </w:rPr>
            </w:pPr>
          </w:p>
          <w:p>
            <w:pPr>
              <w:pStyle w:val="99"/>
              <w:adjustRightInd/>
              <w:spacing w:line="355" w:lineRule="auto"/>
              <w:ind w:firstLine="480" w:firstLineChars="200"/>
              <w:rPr>
                <w:rFonts w:eastAsia="宋体"/>
                <w:color w:val="auto"/>
                <w:sz w:val="24"/>
              </w:rPr>
            </w:pPr>
          </w:p>
          <w:p>
            <w:pPr>
              <w:spacing w:line="360" w:lineRule="auto"/>
              <w:ind w:firstLine="422" w:firstLineChars="200"/>
              <w:jc w:val="center"/>
              <w:rPr>
                <w:b/>
                <w:color w:val="auto"/>
                <w:kern w:val="0"/>
                <w:szCs w:val="21"/>
              </w:rPr>
            </w:pPr>
            <w:r>
              <w:rPr>
                <w:b/>
                <w:color w:val="auto"/>
                <w:kern w:val="0"/>
                <w:szCs w:val="21"/>
              </w:rPr>
              <w:t>表2-5普宁市</w:t>
            </w:r>
            <w:r>
              <w:rPr>
                <w:rFonts w:hint="eastAsia"/>
                <w:b/>
                <w:color w:val="auto"/>
                <w:kern w:val="0"/>
                <w:szCs w:val="21"/>
              </w:rPr>
              <w:t>占陇</w:t>
            </w:r>
            <w:r>
              <w:rPr>
                <w:b/>
                <w:color w:val="auto"/>
                <w:kern w:val="0"/>
                <w:szCs w:val="21"/>
              </w:rPr>
              <w:t>镇污水处理厂进水水质标准一览表</w:t>
            </w:r>
          </w:p>
          <w:tbl>
            <w:tblPr>
              <w:tblStyle w:val="29"/>
              <w:tblW w:w="9314"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4"/>
              <w:gridCol w:w="1114"/>
              <w:gridCol w:w="1162"/>
              <w:gridCol w:w="1032"/>
              <w:gridCol w:w="1162"/>
              <w:gridCol w:w="1343"/>
              <w:gridCol w:w="803"/>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项目</w:t>
                  </w:r>
                </w:p>
              </w:tc>
              <w:tc>
                <w:tcPr>
                  <w:tcW w:w="1114"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COD</w:t>
                  </w:r>
                </w:p>
              </w:tc>
              <w:tc>
                <w:tcPr>
                  <w:tcW w:w="116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BOD</w:t>
                  </w:r>
                  <w:r>
                    <w:rPr>
                      <w:rFonts w:ascii="宋体" w:hAnsi="宋体" w:cs="宋体"/>
                      <w:color w:val="auto"/>
                      <w:kern w:val="0"/>
                      <w:szCs w:val="21"/>
                      <w:vertAlign w:val="subscript"/>
                    </w:rPr>
                    <w:t>5</w:t>
                  </w:r>
                </w:p>
              </w:tc>
              <w:tc>
                <w:tcPr>
                  <w:tcW w:w="103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SS</w:t>
                  </w:r>
                </w:p>
              </w:tc>
              <w:tc>
                <w:tcPr>
                  <w:tcW w:w="116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NH</w:t>
                  </w:r>
                  <w:r>
                    <w:rPr>
                      <w:rFonts w:ascii="宋体" w:hAnsi="宋体" w:cs="宋体"/>
                      <w:color w:val="auto"/>
                      <w:kern w:val="0"/>
                      <w:szCs w:val="21"/>
                      <w:vertAlign w:val="subscript"/>
                    </w:rPr>
                    <w:t>3</w:t>
                  </w:r>
                  <w:r>
                    <w:rPr>
                      <w:rFonts w:ascii="宋体" w:hAnsi="宋体" w:cs="宋体"/>
                      <w:color w:val="auto"/>
                      <w:kern w:val="0"/>
                      <w:szCs w:val="21"/>
                    </w:rPr>
                    <w:t>-N</w:t>
                  </w:r>
                </w:p>
              </w:tc>
              <w:tc>
                <w:tcPr>
                  <w:tcW w:w="134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动植物油</w:t>
                  </w:r>
                </w:p>
              </w:tc>
              <w:tc>
                <w:tcPr>
                  <w:tcW w:w="8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TN</w:t>
                  </w:r>
                </w:p>
              </w:tc>
              <w:tc>
                <w:tcPr>
                  <w:tcW w:w="1414"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TP(以P计)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84"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进水浓度</w:t>
                  </w:r>
                </w:p>
              </w:tc>
              <w:tc>
                <w:tcPr>
                  <w:tcW w:w="1114"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 250</w:t>
                  </w:r>
                </w:p>
              </w:tc>
              <w:tc>
                <w:tcPr>
                  <w:tcW w:w="116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≤130</w:t>
                  </w:r>
                </w:p>
              </w:tc>
              <w:tc>
                <w:tcPr>
                  <w:tcW w:w="103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≤150</w:t>
                  </w:r>
                </w:p>
              </w:tc>
              <w:tc>
                <w:tcPr>
                  <w:tcW w:w="116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≤30</w:t>
                  </w:r>
                </w:p>
              </w:tc>
              <w:tc>
                <w:tcPr>
                  <w:tcW w:w="134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≤100</w:t>
                  </w:r>
                </w:p>
              </w:tc>
              <w:tc>
                <w:tcPr>
                  <w:tcW w:w="8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≤40</w:t>
                  </w:r>
                </w:p>
              </w:tc>
              <w:tc>
                <w:tcPr>
                  <w:tcW w:w="1414"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≤4</w:t>
                  </w:r>
                </w:p>
              </w:tc>
            </w:tr>
          </w:tbl>
          <w:p>
            <w:pPr>
              <w:spacing w:line="360" w:lineRule="auto"/>
              <w:ind w:firstLine="422" w:firstLineChars="200"/>
              <w:jc w:val="center"/>
              <w:rPr>
                <w:b/>
                <w:color w:val="auto"/>
                <w:kern w:val="0"/>
                <w:szCs w:val="21"/>
              </w:rPr>
            </w:pPr>
          </w:p>
          <w:p>
            <w:pPr>
              <w:spacing w:line="360" w:lineRule="auto"/>
              <w:ind w:firstLine="422" w:firstLineChars="200"/>
              <w:jc w:val="center"/>
              <w:rPr>
                <w:b/>
                <w:color w:val="auto"/>
                <w:kern w:val="0"/>
                <w:szCs w:val="21"/>
              </w:rPr>
            </w:pPr>
            <w:r>
              <w:rPr>
                <w:b/>
                <w:color w:val="auto"/>
                <w:kern w:val="0"/>
                <w:szCs w:val="21"/>
              </w:rPr>
              <w:t>表2-6普宁市</w:t>
            </w:r>
            <w:r>
              <w:rPr>
                <w:rFonts w:hint="eastAsia"/>
                <w:b/>
                <w:color w:val="auto"/>
                <w:kern w:val="0"/>
                <w:szCs w:val="21"/>
              </w:rPr>
              <w:t>占陇</w:t>
            </w:r>
            <w:r>
              <w:rPr>
                <w:b/>
                <w:color w:val="auto"/>
                <w:kern w:val="0"/>
                <w:szCs w:val="21"/>
              </w:rPr>
              <w:t>镇污水处理厂出水水质标准一览表</w:t>
            </w:r>
          </w:p>
          <w:tbl>
            <w:tblPr>
              <w:tblStyle w:val="29"/>
              <w:tblW w:w="9314"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3"/>
              <w:gridCol w:w="1301"/>
              <w:gridCol w:w="1303"/>
              <w:gridCol w:w="1300"/>
              <w:gridCol w:w="1302"/>
              <w:gridCol w:w="1302"/>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03"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项目</w:t>
                  </w:r>
                </w:p>
              </w:tc>
              <w:tc>
                <w:tcPr>
                  <w:tcW w:w="1301"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hint="eastAsia" w:ascii="宋体" w:hAnsi="宋体" w:cs="宋体"/>
                      <w:color w:val="auto"/>
                      <w:kern w:val="0"/>
                      <w:szCs w:val="21"/>
                    </w:rPr>
                    <w:t>C</w:t>
                  </w:r>
                  <w:r>
                    <w:rPr>
                      <w:rFonts w:ascii="宋体" w:hAnsi="宋体" w:cs="宋体"/>
                      <w:color w:val="auto"/>
                      <w:kern w:val="0"/>
                      <w:szCs w:val="21"/>
                    </w:rPr>
                    <w:t>OD</w:t>
                  </w:r>
                </w:p>
              </w:tc>
              <w:tc>
                <w:tcPr>
                  <w:tcW w:w="13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BOD</w:t>
                  </w:r>
                  <w:r>
                    <w:rPr>
                      <w:rFonts w:ascii="宋体" w:hAnsi="宋体" w:cs="宋体"/>
                      <w:color w:val="auto"/>
                      <w:kern w:val="0"/>
                      <w:szCs w:val="21"/>
                      <w:vertAlign w:val="subscript"/>
                    </w:rPr>
                    <w:t>5</w:t>
                  </w:r>
                </w:p>
              </w:tc>
              <w:tc>
                <w:tcPr>
                  <w:tcW w:w="1300"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SS</w:t>
                  </w:r>
                </w:p>
              </w:tc>
              <w:tc>
                <w:tcPr>
                  <w:tcW w:w="130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NH</w:t>
                  </w:r>
                  <w:r>
                    <w:rPr>
                      <w:rFonts w:ascii="宋体" w:hAnsi="宋体" w:cs="宋体"/>
                      <w:color w:val="auto"/>
                      <w:kern w:val="0"/>
                      <w:szCs w:val="21"/>
                      <w:vertAlign w:val="subscript"/>
                    </w:rPr>
                    <w:t>3</w:t>
                  </w:r>
                  <w:r>
                    <w:rPr>
                      <w:rFonts w:ascii="宋体" w:hAnsi="宋体" w:cs="宋体"/>
                      <w:color w:val="auto"/>
                      <w:kern w:val="0"/>
                      <w:szCs w:val="21"/>
                    </w:rPr>
                    <w:t>-N</w:t>
                  </w:r>
                </w:p>
              </w:tc>
              <w:tc>
                <w:tcPr>
                  <w:tcW w:w="130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hint="eastAsia" w:ascii="宋体" w:hAnsi="宋体" w:cs="宋体"/>
                      <w:color w:val="auto"/>
                      <w:kern w:val="0"/>
                      <w:szCs w:val="21"/>
                    </w:rPr>
                    <w:t>T</w:t>
                  </w:r>
                  <w:r>
                    <w:rPr>
                      <w:rFonts w:ascii="宋体" w:hAnsi="宋体" w:cs="宋体"/>
                      <w:color w:val="auto"/>
                      <w:kern w:val="0"/>
                      <w:szCs w:val="21"/>
                    </w:rPr>
                    <w:t>N</w:t>
                  </w:r>
                </w:p>
              </w:tc>
              <w:tc>
                <w:tcPr>
                  <w:tcW w:w="15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TP(以P计)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03" w:type="dxa"/>
                  <w:tcBorders>
                    <w:top w:val="single" w:color="auto" w:sz="4" w:space="0"/>
                    <w:left w:val="single" w:color="auto" w:sz="4" w:space="0"/>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出水浓度</w:t>
                  </w:r>
                </w:p>
              </w:tc>
              <w:tc>
                <w:tcPr>
                  <w:tcW w:w="1301"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 40</w:t>
                  </w:r>
                </w:p>
              </w:tc>
              <w:tc>
                <w:tcPr>
                  <w:tcW w:w="13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w:t>
                  </w:r>
                  <w:r>
                    <w:rPr>
                      <w:rFonts w:hint="eastAsia" w:ascii="宋体" w:hAnsi="宋体" w:cs="宋体"/>
                      <w:color w:val="auto"/>
                      <w:kern w:val="0"/>
                      <w:szCs w:val="21"/>
                    </w:rPr>
                    <w:t>10</w:t>
                  </w:r>
                </w:p>
              </w:tc>
              <w:tc>
                <w:tcPr>
                  <w:tcW w:w="1300"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w:t>
                  </w:r>
                  <w:r>
                    <w:rPr>
                      <w:rFonts w:hint="eastAsia" w:ascii="宋体" w:hAnsi="宋体" w:cs="宋体"/>
                      <w:color w:val="auto"/>
                      <w:kern w:val="0"/>
                      <w:szCs w:val="21"/>
                    </w:rPr>
                    <w:t>10</w:t>
                  </w:r>
                </w:p>
              </w:tc>
              <w:tc>
                <w:tcPr>
                  <w:tcW w:w="130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w:t>
                  </w:r>
                  <w:r>
                    <w:rPr>
                      <w:rFonts w:hint="eastAsia" w:ascii="宋体" w:hAnsi="宋体" w:cs="宋体"/>
                      <w:color w:val="auto"/>
                      <w:kern w:val="0"/>
                      <w:szCs w:val="21"/>
                    </w:rPr>
                    <w:t>5（2）</w:t>
                  </w:r>
                </w:p>
              </w:tc>
              <w:tc>
                <w:tcPr>
                  <w:tcW w:w="1302"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w:t>
                  </w:r>
                  <w:r>
                    <w:rPr>
                      <w:rFonts w:hint="eastAsia" w:ascii="宋体" w:hAnsi="宋体" w:cs="宋体"/>
                      <w:color w:val="auto"/>
                      <w:kern w:val="0"/>
                      <w:szCs w:val="21"/>
                    </w:rPr>
                    <w:t>15</w:t>
                  </w:r>
                </w:p>
              </w:tc>
              <w:tc>
                <w:tcPr>
                  <w:tcW w:w="1503" w:type="dxa"/>
                  <w:tcBorders>
                    <w:top w:val="single" w:color="auto" w:sz="4" w:space="0"/>
                    <w:left w:val="nil"/>
                    <w:bottom w:val="single" w:color="auto" w:sz="4" w:space="0"/>
                    <w:right w:val="single" w:color="auto" w:sz="4" w:space="0"/>
                  </w:tcBorders>
                  <w:vAlign w:val="center"/>
                </w:tcPr>
                <w:p>
                  <w:pPr>
                    <w:snapToGrid w:val="0"/>
                    <w:jc w:val="center"/>
                    <w:rPr>
                      <w:rFonts w:ascii="宋体" w:hAnsi="宋体" w:cs="宋体"/>
                      <w:color w:val="auto"/>
                      <w:szCs w:val="21"/>
                    </w:rPr>
                  </w:pPr>
                  <w:r>
                    <w:rPr>
                      <w:rFonts w:ascii="宋体" w:hAnsi="宋体" w:cs="宋体"/>
                      <w:color w:val="auto"/>
                      <w:kern w:val="0"/>
                      <w:szCs w:val="21"/>
                    </w:rPr>
                    <w:t>≤</w:t>
                  </w:r>
                  <w:r>
                    <w:rPr>
                      <w:rFonts w:hint="eastAsia" w:ascii="宋体" w:hAnsi="宋体" w:cs="宋体"/>
                      <w:color w:val="auto"/>
                      <w:kern w:val="0"/>
                      <w:szCs w:val="21"/>
                    </w:rPr>
                    <w:t>0.5(0.4)</w:t>
                  </w:r>
                </w:p>
              </w:tc>
            </w:tr>
          </w:tbl>
          <w:p>
            <w:pPr>
              <w:pStyle w:val="99"/>
              <w:adjustRightInd/>
              <w:spacing w:line="355" w:lineRule="auto"/>
              <w:ind w:firstLine="480" w:firstLineChars="200"/>
              <w:rPr>
                <w:rFonts w:eastAsia="宋体"/>
                <w:color w:val="auto"/>
                <w:sz w:val="24"/>
              </w:rPr>
            </w:pPr>
          </w:p>
        </w:tc>
      </w:tr>
    </w:tbl>
    <w:p>
      <w:pPr>
        <w:pStyle w:val="3"/>
        <w:keepLines/>
        <w:tabs>
          <w:tab w:val="left" w:pos="630"/>
        </w:tabs>
        <w:jc w:val="both"/>
        <w:rPr>
          <w:b/>
          <w:bCs/>
          <w:color w:val="auto"/>
          <w:kern w:val="44"/>
          <w:sz w:val="30"/>
          <w:szCs w:val="30"/>
        </w:rPr>
      </w:pPr>
      <w:r>
        <w:rPr>
          <w:b/>
          <w:bCs/>
          <w:color w:val="auto"/>
          <w:kern w:val="44"/>
          <w:sz w:val="30"/>
          <w:szCs w:val="30"/>
        </w:rPr>
        <w:t>三、环境质量状况</w:t>
      </w:r>
    </w:p>
    <w:tbl>
      <w:tblPr>
        <w:tblStyle w:val="29"/>
        <w:tblW w:w="106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44" w:type="dxa"/>
          </w:tcPr>
          <w:p>
            <w:pPr>
              <w:pStyle w:val="14"/>
              <w:numPr>
                <w:ilvl w:val="0"/>
                <w:numId w:val="5"/>
              </w:numPr>
              <w:spacing w:line="360" w:lineRule="auto"/>
              <w:rPr>
                <w:b/>
                <w:color w:val="auto"/>
              </w:rPr>
            </w:pPr>
            <w:r>
              <w:rPr>
                <w:b/>
                <w:color w:val="auto"/>
                <w:szCs w:val="24"/>
              </w:rPr>
              <w:t>建设项目所在地区域环境质量现状及主要环境问题（环境空气、地面水、地下水、声环境、生态环境等）</w:t>
            </w:r>
          </w:p>
          <w:p>
            <w:pPr>
              <w:ind w:firstLine="221" w:firstLineChars="100"/>
              <w:jc w:val="center"/>
              <w:rPr>
                <w:b/>
                <w:bCs/>
                <w:color w:val="auto"/>
                <w:sz w:val="22"/>
                <w:szCs w:val="28"/>
              </w:rPr>
            </w:pPr>
            <w:r>
              <w:rPr>
                <w:b/>
                <w:bCs/>
                <w:color w:val="auto"/>
                <w:sz w:val="22"/>
                <w:szCs w:val="28"/>
              </w:rPr>
              <w:t>表3-1建设项目环境功能属性表</w:t>
            </w:r>
          </w:p>
          <w:tbl>
            <w:tblPr>
              <w:tblStyle w:val="29"/>
              <w:tblpPr w:leftFromText="180" w:rightFromText="180" w:vertAnchor="text" w:horzAnchor="page" w:tblpXSpec="center" w:tblpY="321"/>
              <w:tblOverlap w:val="never"/>
              <w:tblW w:w="875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
              <w:gridCol w:w="2766"/>
              <w:gridCol w:w="5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b/>
                      <w:color w:val="auto"/>
                      <w:sz w:val="22"/>
                      <w:szCs w:val="28"/>
                    </w:rPr>
                  </w:pPr>
                  <w:r>
                    <w:rPr>
                      <w:b/>
                      <w:color w:val="auto"/>
                      <w:sz w:val="22"/>
                      <w:szCs w:val="28"/>
                    </w:rPr>
                    <w:t>编号</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b/>
                      <w:color w:val="auto"/>
                      <w:sz w:val="22"/>
                      <w:szCs w:val="28"/>
                    </w:rPr>
                  </w:pPr>
                  <w:r>
                    <w:rPr>
                      <w:b/>
                      <w:color w:val="auto"/>
                      <w:sz w:val="22"/>
                      <w:szCs w:val="28"/>
                    </w:rPr>
                    <w:t>项目</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b/>
                      <w:color w:val="auto"/>
                      <w:sz w:val="22"/>
                      <w:szCs w:val="28"/>
                    </w:rPr>
                  </w:pPr>
                  <w:r>
                    <w:rPr>
                      <w:b/>
                      <w:color w:val="auto"/>
                      <w:sz w:val="22"/>
                      <w:szCs w:val="28"/>
                    </w:rPr>
                    <w:t>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环境空气质量功能区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属二类区域，执行《环境空气质量标准》（GB3095-2012）2018年修改单中的二级标准。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水环境功能区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项目附近水体为无名沟渠，</w:t>
                  </w:r>
                  <w:r>
                    <w:rPr>
                      <w:rFonts w:hint="eastAsia"/>
                      <w:color w:val="auto"/>
                    </w:rPr>
                    <w:t>参照练</w:t>
                  </w:r>
                  <w:r>
                    <w:rPr>
                      <w:color w:val="auto"/>
                    </w:rPr>
                    <w:t>江支流属V类水环境功能区，执行《地表水环境质</w:t>
                  </w:r>
                  <w:r>
                    <w:rPr>
                      <w:color w:val="auto"/>
                    </w:rPr>
                    <w:cr/>
                  </w:r>
                  <w:r>
                    <w:rPr>
                      <w:color w:val="auto"/>
                    </w:rPr>
                    <w:t>标准》（GB3838-2002）V类标准；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3</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声环境功能区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所在地属2类区，执行《声环境质量标准》(GB3096-2008) 2类标准；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4</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生态环境功能区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城镇生态农业功能区、有限开发区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5</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是否基本农田保护区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6</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是否风景名胜保护区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7</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是否水库库区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8</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是否饮用水源保护区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是否污水厂集水范围</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10</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是否重点文物保护单位</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4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11</w:t>
                  </w:r>
                </w:p>
              </w:tc>
              <w:tc>
                <w:tcPr>
                  <w:tcW w:w="27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是否人口密集区</w:t>
                  </w:r>
                </w:p>
              </w:tc>
              <w:tc>
                <w:tcPr>
                  <w:tcW w:w="504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否</w:t>
                  </w:r>
                </w:p>
              </w:tc>
            </w:tr>
          </w:tbl>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p>
          <w:p>
            <w:pPr>
              <w:pStyle w:val="14"/>
              <w:spacing w:line="360" w:lineRule="auto"/>
              <w:ind w:firstLine="241" w:firstLineChars="100"/>
              <w:rPr>
                <w:b/>
                <w:color w:val="auto"/>
              </w:rPr>
            </w:pPr>
            <w:r>
              <w:rPr>
                <w:b/>
                <w:color w:val="auto"/>
              </w:rPr>
              <w:t>1. 大气环境质量现状</w:t>
            </w:r>
          </w:p>
          <w:p>
            <w:pPr>
              <w:spacing w:line="360" w:lineRule="auto"/>
              <w:ind w:firstLine="471"/>
              <w:rPr>
                <w:snapToGrid w:val="0"/>
                <w:color w:val="auto"/>
                <w:kern w:val="0"/>
                <w:sz w:val="24"/>
              </w:rPr>
            </w:pPr>
            <w:r>
              <w:rPr>
                <w:color w:val="auto"/>
                <w:sz w:val="24"/>
              </w:rPr>
              <w:t>根据《揭阳市环境保护规划（2007-2020）》及《关于&lt;揭阳市环境保护规划（2007-2020）&gt;的批复》（揭府函[2008]103号），项目所在区域为环境空气二类功能区，</w:t>
            </w:r>
            <w:r>
              <w:rPr>
                <w:snapToGrid w:val="0"/>
                <w:color w:val="auto"/>
                <w:kern w:val="0"/>
                <w:sz w:val="24"/>
              </w:rPr>
              <w:t>本项目位于环境空气二类功能区，执行《环境空气质量标准》(GB3095-2012)中的二级标准。</w:t>
            </w:r>
          </w:p>
          <w:p>
            <w:pPr>
              <w:spacing w:line="360" w:lineRule="auto"/>
              <w:ind w:firstLine="471"/>
              <w:rPr>
                <w:snapToGrid w:val="0"/>
                <w:color w:val="auto"/>
                <w:kern w:val="0"/>
                <w:sz w:val="24"/>
              </w:rPr>
            </w:pPr>
            <w:r>
              <w:rPr>
                <w:rFonts w:hint="eastAsia"/>
                <w:snapToGrid w:val="0"/>
                <w:color w:val="auto"/>
                <w:kern w:val="0"/>
                <w:sz w:val="24"/>
              </w:rPr>
              <w:t>为了评价项目所在区域的环境空气质量现状，根据《环境影响评价技术导则</w:t>
            </w:r>
            <w:r>
              <w:rPr>
                <w:snapToGrid w:val="0"/>
                <w:color w:val="auto"/>
                <w:kern w:val="0"/>
                <w:sz w:val="24"/>
              </w:rPr>
              <w:t>大气环境》（HJ 2.2-2018）的要求，引用了《揭阳市环境质量报告书（二〇一</w:t>
            </w:r>
            <w:r>
              <w:rPr>
                <w:rFonts w:hint="eastAsia"/>
                <w:snapToGrid w:val="0"/>
                <w:color w:val="auto"/>
                <w:kern w:val="0"/>
                <w:sz w:val="24"/>
              </w:rPr>
              <w:t>八</w:t>
            </w:r>
            <w:r>
              <w:rPr>
                <w:snapToGrid w:val="0"/>
                <w:color w:val="auto"/>
                <w:kern w:val="0"/>
                <w:sz w:val="24"/>
              </w:rPr>
              <w:t>年度公众版）》中的数据和结论。</w:t>
            </w:r>
          </w:p>
          <w:p>
            <w:pPr>
              <w:spacing w:line="360" w:lineRule="auto"/>
              <w:ind w:firstLine="471"/>
              <w:rPr>
                <w:color w:val="auto"/>
                <w:kern w:val="0"/>
                <w:sz w:val="24"/>
              </w:rPr>
            </w:pPr>
            <w:r>
              <w:rPr>
                <w:rFonts w:hint="eastAsia"/>
                <w:color w:val="auto"/>
                <w:kern w:val="0"/>
                <w:sz w:val="24"/>
              </w:rPr>
              <w:t>（1）揭阳市环境空气质量现状</w:t>
            </w:r>
          </w:p>
          <w:p>
            <w:pPr>
              <w:spacing w:line="360" w:lineRule="auto"/>
              <w:ind w:firstLine="471"/>
              <w:rPr>
                <w:snapToGrid w:val="0"/>
                <w:color w:val="auto"/>
                <w:kern w:val="0"/>
                <w:sz w:val="24"/>
              </w:rPr>
            </w:pPr>
            <w:r>
              <w:rPr>
                <w:rFonts w:hint="eastAsia"/>
                <w:color w:val="auto"/>
                <w:kern w:val="0"/>
                <w:sz w:val="24"/>
              </w:rPr>
              <w:t>2018年揭阳市区城市环境空气质量达标。六个参评项目均达标，其中，臭氧、细颗粒物达标率为91.0%、96.4%，其余项目达标率均为100.0%。全年有效监测天数365天，达标天数为320天，达标率为87.7%，比2017年下降6.5个百分点；其中，空气质量指数类别优112天，占30.7%；良208天，占57.0%；轻度污染43天，占11.8%；中度污染2天，占0.5%。空气中主要污染物为PM2.5。区域空气质量现状评价表如下。</w:t>
            </w:r>
          </w:p>
          <w:p>
            <w:pPr>
              <w:widowControl/>
              <w:spacing w:line="360" w:lineRule="auto"/>
              <w:ind w:firstLine="480"/>
              <w:jc w:val="center"/>
              <w:rPr>
                <w:b/>
                <w:bCs/>
                <w:color w:val="auto"/>
                <w:kern w:val="0"/>
                <w:sz w:val="22"/>
                <w:szCs w:val="22"/>
              </w:rPr>
            </w:pPr>
            <w:r>
              <w:rPr>
                <w:b/>
                <w:color w:val="auto"/>
                <w:sz w:val="22"/>
                <w:szCs w:val="22"/>
              </w:rPr>
              <w:t>表3-2</w:t>
            </w:r>
            <w:r>
              <w:rPr>
                <w:b/>
                <w:bCs/>
                <w:color w:val="auto"/>
                <w:kern w:val="0"/>
                <w:sz w:val="22"/>
                <w:szCs w:val="22"/>
              </w:rPr>
              <w:t>揭阳市区域空气质量现状评价表</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94"/>
              <w:gridCol w:w="1925"/>
              <w:gridCol w:w="1877"/>
              <w:gridCol w:w="1711"/>
              <w:gridCol w:w="1709"/>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Align w:val="center"/>
                </w:tcPr>
                <w:p>
                  <w:pPr>
                    <w:snapToGrid w:val="0"/>
                    <w:jc w:val="center"/>
                    <w:rPr>
                      <w:b/>
                      <w:color w:val="auto"/>
                      <w:kern w:val="0"/>
                      <w:szCs w:val="21"/>
                    </w:rPr>
                  </w:pPr>
                  <w:r>
                    <w:rPr>
                      <w:b/>
                      <w:color w:val="auto"/>
                      <w:kern w:val="0"/>
                      <w:szCs w:val="21"/>
                    </w:rPr>
                    <w:t>污染物</w:t>
                  </w:r>
                </w:p>
              </w:tc>
              <w:tc>
                <w:tcPr>
                  <w:tcW w:w="924" w:type="pct"/>
                  <w:vAlign w:val="center"/>
                </w:tcPr>
                <w:p>
                  <w:pPr>
                    <w:snapToGrid w:val="0"/>
                    <w:jc w:val="center"/>
                    <w:rPr>
                      <w:b/>
                      <w:color w:val="auto"/>
                      <w:kern w:val="0"/>
                      <w:szCs w:val="21"/>
                    </w:rPr>
                  </w:pPr>
                  <w:r>
                    <w:rPr>
                      <w:b/>
                      <w:color w:val="auto"/>
                      <w:kern w:val="0"/>
                      <w:szCs w:val="21"/>
                    </w:rPr>
                    <w:t>年评价指标</w:t>
                  </w:r>
                </w:p>
              </w:tc>
              <w:tc>
                <w:tcPr>
                  <w:tcW w:w="901" w:type="pct"/>
                  <w:vAlign w:val="center"/>
                </w:tcPr>
                <w:p>
                  <w:pPr>
                    <w:snapToGrid w:val="0"/>
                    <w:jc w:val="center"/>
                    <w:rPr>
                      <w:b/>
                      <w:color w:val="auto"/>
                      <w:kern w:val="0"/>
                      <w:szCs w:val="21"/>
                    </w:rPr>
                  </w:pPr>
                  <w:r>
                    <w:rPr>
                      <w:b/>
                      <w:color w:val="auto"/>
                      <w:kern w:val="0"/>
                      <w:szCs w:val="21"/>
                    </w:rPr>
                    <w:t>现状浓度</w:t>
                  </w:r>
                  <w:bookmarkStart w:id="35" w:name="OLE_LINK143"/>
                  <w:r>
                    <w:rPr>
                      <w:b/>
                      <w:color w:val="auto"/>
                      <w:kern w:val="0"/>
                      <w:szCs w:val="21"/>
                    </w:rPr>
                    <w:t>（ug/m³）</w:t>
                  </w:r>
                  <w:bookmarkEnd w:id="35"/>
                </w:p>
              </w:tc>
              <w:tc>
                <w:tcPr>
                  <w:tcW w:w="821" w:type="pct"/>
                  <w:vAlign w:val="center"/>
                </w:tcPr>
                <w:p>
                  <w:pPr>
                    <w:snapToGrid w:val="0"/>
                    <w:jc w:val="center"/>
                    <w:rPr>
                      <w:b/>
                      <w:color w:val="auto"/>
                      <w:kern w:val="0"/>
                      <w:szCs w:val="21"/>
                    </w:rPr>
                  </w:pPr>
                  <w:r>
                    <w:rPr>
                      <w:b/>
                      <w:color w:val="auto"/>
                      <w:kern w:val="0"/>
                      <w:szCs w:val="21"/>
                    </w:rPr>
                    <w:t>标准值（ug/m³）</w:t>
                  </w:r>
                </w:p>
              </w:tc>
              <w:tc>
                <w:tcPr>
                  <w:tcW w:w="820" w:type="pct"/>
                  <w:vAlign w:val="center"/>
                </w:tcPr>
                <w:p>
                  <w:pPr>
                    <w:snapToGrid w:val="0"/>
                    <w:jc w:val="center"/>
                    <w:rPr>
                      <w:b/>
                      <w:color w:val="auto"/>
                      <w:kern w:val="0"/>
                      <w:szCs w:val="21"/>
                    </w:rPr>
                  </w:pPr>
                  <w:r>
                    <w:rPr>
                      <w:b/>
                      <w:color w:val="auto"/>
                      <w:kern w:val="0"/>
                      <w:szCs w:val="21"/>
                    </w:rPr>
                    <w:t>占标率（%）</w:t>
                  </w:r>
                </w:p>
              </w:tc>
              <w:tc>
                <w:tcPr>
                  <w:tcW w:w="818" w:type="pct"/>
                  <w:vAlign w:val="center"/>
                </w:tcPr>
                <w:p>
                  <w:pPr>
                    <w:snapToGrid w:val="0"/>
                    <w:jc w:val="center"/>
                    <w:rPr>
                      <w:b/>
                      <w:color w:val="auto"/>
                      <w:kern w:val="0"/>
                      <w:szCs w:val="21"/>
                    </w:rPr>
                  </w:pPr>
                  <w:r>
                    <w:rPr>
                      <w:b/>
                      <w:color w:val="auto"/>
                      <w:kern w:val="0"/>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restart"/>
                  <w:vAlign w:val="center"/>
                </w:tcPr>
                <w:p>
                  <w:pPr>
                    <w:snapToGrid w:val="0"/>
                    <w:jc w:val="center"/>
                    <w:rPr>
                      <w:color w:val="auto"/>
                      <w:kern w:val="0"/>
                      <w:szCs w:val="21"/>
                    </w:rPr>
                  </w:pPr>
                  <w:bookmarkStart w:id="36" w:name="OLE_LINK158"/>
                  <w:bookmarkStart w:id="37" w:name="OLE_LINK145" w:colFirst="1" w:colLast="1"/>
                  <w:bookmarkStart w:id="38" w:name="OLE_LINK144" w:colFirst="1" w:colLast="1"/>
                  <w:bookmarkStart w:id="39" w:name="_Hlk532081407"/>
                  <w:r>
                    <w:rPr>
                      <w:color w:val="auto"/>
                      <w:kern w:val="0"/>
                      <w:szCs w:val="21"/>
                    </w:rPr>
                    <w:t>二氧化硫</w:t>
                  </w:r>
                  <w:bookmarkEnd w:id="36"/>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12</w:t>
                  </w:r>
                </w:p>
              </w:tc>
              <w:tc>
                <w:tcPr>
                  <w:tcW w:w="821" w:type="pct"/>
                  <w:vAlign w:val="center"/>
                </w:tcPr>
                <w:p>
                  <w:pPr>
                    <w:snapToGrid w:val="0"/>
                    <w:jc w:val="center"/>
                    <w:rPr>
                      <w:color w:val="auto"/>
                      <w:kern w:val="0"/>
                      <w:szCs w:val="21"/>
                    </w:rPr>
                  </w:pPr>
                  <w:r>
                    <w:rPr>
                      <w:color w:val="auto"/>
                      <w:kern w:val="0"/>
                      <w:szCs w:val="21"/>
                    </w:rPr>
                    <w:t>60</w:t>
                  </w:r>
                </w:p>
              </w:tc>
              <w:tc>
                <w:tcPr>
                  <w:tcW w:w="820" w:type="pct"/>
                  <w:vAlign w:val="center"/>
                </w:tcPr>
                <w:p>
                  <w:pPr>
                    <w:snapToGrid w:val="0"/>
                    <w:jc w:val="center"/>
                    <w:rPr>
                      <w:color w:val="auto"/>
                      <w:kern w:val="0"/>
                      <w:szCs w:val="21"/>
                    </w:rPr>
                  </w:pPr>
                  <w:r>
                    <w:rPr>
                      <w:color w:val="auto"/>
                      <w:kern w:val="0"/>
                      <w:szCs w:val="21"/>
                    </w:rPr>
                    <w:t>20</w:t>
                  </w:r>
                </w:p>
              </w:tc>
              <w:tc>
                <w:tcPr>
                  <w:tcW w:w="818" w:type="pct"/>
                  <w:vMerge w:val="restart"/>
                  <w:vAlign w:val="center"/>
                </w:tcPr>
                <w:p>
                  <w:pPr>
                    <w:snapToGrid w:val="0"/>
                    <w:jc w:val="center"/>
                    <w:rPr>
                      <w:color w:val="auto"/>
                      <w:kern w:val="0"/>
                      <w:szCs w:val="21"/>
                    </w:rPr>
                  </w:pPr>
                  <w:bookmarkStart w:id="40" w:name="OLE_LINK146"/>
                  <w:bookmarkStart w:id="41" w:name="OLE_LINK147"/>
                  <w:r>
                    <w:rPr>
                      <w:color w:val="auto"/>
                      <w:kern w:val="0"/>
                      <w:szCs w:val="21"/>
                    </w:rPr>
                    <w:t>达标</w:t>
                  </w:r>
                  <w:bookmarkEnd w:id="40"/>
                  <w:bookmarkEnd w:id="4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color w:val="auto"/>
                      <w:kern w:val="0"/>
                      <w:szCs w:val="21"/>
                    </w:rPr>
                    <w:t>未给出</w:t>
                  </w:r>
                </w:p>
              </w:tc>
              <w:tc>
                <w:tcPr>
                  <w:tcW w:w="821" w:type="pct"/>
                  <w:vAlign w:val="center"/>
                </w:tcPr>
                <w:p>
                  <w:pPr>
                    <w:snapToGrid w:val="0"/>
                    <w:jc w:val="center"/>
                    <w:rPr>
                      <w:color w:val="auto"/>
                      <w:kern w:val="0"/>
                      <w:szCs w:val="21"/>
                    </w:rPr>
                  </w:pPr>
                  <w:r>
                    <w:rPr>
                      <w:color w:val="auto"/>
                      <w:kern w:val="0"/>
                      <w:szCs w:val="21"/>
                    </w:rPr>
                    <w:t>150</w:t>
                  </w:r>
                </w:p>
              </w:tc>
              <w:tc>
                <w:tcPr>
                  <w:tcW w:w="820" w:type="pct"/>
                  <w:vAlign w:val="center"/>
                </w:tcPr>
                <w:p>
                  <w:pPr>
                    <w:snapToGrid w:val="0"/>
                    <w:jc w:val="center"/>
                    <w:rPr>
                      <w:color w:val="auto"/>
                      <w:kern w:val="0"/>
                      <w:szCs w:val="21"/>
                    </w:rPr>
                  </w:pPr>
                  <w:r>
                    <w:rPr>
                      <w:color w:val="auto"/>
                      <w:kern w:val="0"/>
                      <w:szCs w:val="21"/>
                    </w:rPr>
                    <w:t>/</w:t>
                  </w:r>
                </w:p>
              </w:tc>
              <w:tc>
                <w:tcPr>
                  <w:tcW w:w="818" w:type="pct"/>
                  <w:vMerge w:val="continue"/>
                  <w:vAlign w:val="center"/>
                </w:tcPr>
                <w:p>
                  <w:pPr>
                    <w:snapToGrid w:val="0"/>
                    <w:jc w:val="center"/>
                    <w:rPr>
                      <w:color w:val="auto"/>
                      <w:kern w:val="0"/>
                      <w:szCs w:val="21"/>
                    </w:rPr>
                  </w:pPr>
                </w:p>
              </w:tc>
            </w:tr>
            <w:bookmarkEnd w:id="37"/>
            <w:bookmarkEnd w:id="38"/>
            <w:bookmarkEnd w:id="39"/>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17" w:type="pct"/>
                  <w:vMerge w:val="restart"/>
                  <w:vAlign w:val="center"/>
                </w:tcPr>
                <w:p>
                  <w:pPr>
                    <w:snapToGrid w:val="0"/>
                    <w:jc w:val="center"/>
                    <w:rPr>
                      <w:color w:val="auto"/>
                      <w:kern w:val="0"/>
                      <w:szCs w:val="21"/>
                    </w:rPr>
                  </w:pPr>
                  <w:bookmarkStart w:id="42" w:name="OLE_LINK159"/>
                  <w:bookmarkStart w:id="43" w:name="_Hlk532081632"/>
                  <w:bookmarkStart w:id="44" w:name="OLE_LINK149" w:colFirst="1" w:colLast="1"/>
                  <w:bookmarkStart w:id="45" w:name="OLE_LINK148" w:colFirst="1" w:colLast="1"/>
                  <w:r>
                    <w:rPr>
                      <w:color w:val="auto"/>
                      <w:kern w:val="0"/>
                      <w:szCs w:val="21"/>
                    </w:rPr>
                    <w:t>二氧化氮</w:t>
                  </w:r>
                  <w:bookmarkEnd w:id="42"/>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24</w:t>
                  </w:r>
                </w:p>
              </w:tc>
              <w:tc>
                <w:tcPr>
                  <w:tcW w:w="821" w:type="pct"/>
                  <w:vAlign w:val="center"/>
                </w:tcPr>
                <w:p>
                  <w:pPr>
                    <w:snapToGrid w:val="0"/>
                    <w:jc w:val="center"/>
                    <w:rPr>
                      <w:color w:val="auto"/>
                      <w:kern w:val="0"/>
                      <w:szCs w:val="21"/>
                    </w:rPr>
                  </w:pPr>
                  <w:r>
                    <w:rPr>
                      <w:color w:val="auto"/>
                      <w:kern w:val="0"/>
                      <w:szCs w:val="21"/>
                    </w:rPr>
                    <w:t>40</w:t>
                  </w:r>
                </w:p>
              </w:tc>
              <w:tc>
                <w:tcPr>
                  <w:tcW w:w="820" w:type="pct"/>
                  <w:vAlign w:val="center"/>
                </w:tcPr>
                <w:p>
                  <w:pPr>
                    <w:snapToGrid w:val="0"/>
                    <w:jc w:val="center"/>
                    <w:rPr>
                      <w:color w:val="auto"/>
                      <w:kern w:val="0"/>
                      <w:szCs w:val="21"/>
                    </w:rPr>
                  </w:pPr>
                  <w:r>
                    <w:rPr>
                      <w:color w:val="auto"/>
                      <w:kern w:val="0"/>
                      <w:szCs w:val="21"/>
                    </w:rPr>
                    <w:t>60</w:t>
                  </w:r>
                </w:p>
              </w:tc>
              <w:tc>
                <w:tcPr>
                  <w:tcW w:w="818" w:type="pct"/>
                  <w:vMerge w:val="restart"/>
                  <w:vAlign w:val="center"/>
                </w:tcPr>
                <w:p>
                  <w:pPr>
                    <w:snapToGrid w:val="0"/>
                    <w:jc w:val="center"/>
                    <w:rPr>
                      <w:color w:val="auto"/>
                      <w:kern w:val="0"/>
                      <w:szCs w:val="21"/>
                    </w:rPr>
                  </w:pPr>
                  <w:r>
                    <w:rPr>
                      <w:color w:val="auto"/>
                      <w:kern w:val="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color w:val="auto"/>
                      <w:kern w:val="0"/>
                      <w:szCs w:val="21"/>
                    </w:rPr>
                    <w:t>未给出</w:t>
                  </w:r>
                </w:p>
              </w:tc>
              <w:tc>
                <w:tcPr>
                  <w:tcW w:w="821" w:type="pct"/>
                  <w:vAlign w:val="center"/>
                </w:tcPr>
                <w:p>
                  <w:pPr>
                    <w:snapToGrid w:val="0"/>
                    <w:jc w:val="center"/>
                    <w:rPr>
                      <w:color w:val="auto"/>
                      <w:kern w:val="0"/>
                      <w:szCs w:val="21"/>
                    </w:rPr>
                  </w:pPr>
                  <w:r>
                    <w:rPr>
                      <w:color w:val="auto"/>
                      <w:kern w:val="0"/>
                      <w:szCs w:val="21"/>
                    </w:rPr>
                    <w:t>80</w:t>
                  </w:r>
                </w:p>
              </w:tc>
              <w:tc>
                <w:tcPr>
                  <w:tcW w:w="820" w:type="pct"/>
                  <w:vAlign w:val="center"/>
                </w:tcPr>
                <w:p>
                  <w:pPr>
                    <w:snapToGrid w:val="0"/>
                    <w:jc w:val="center"/>
                    <w:rPr>
                      <w:color w:val="auto"/>
                      <w:kern w:val="0"/>
                      <w:szCs w:val="21"/>
                    </w:rPr>
                  </w:pPr>
                  <w:r>
                    <w:rPr>
                      <w:color w:val="auto"/>
                      <w:kern w:val="0"/>
                      <w:szCs w:val="21"/>
                    </w:rPr>
                    <w:t>/</w:t>
                  </w:r>
                </w:p>
              </w:tc>
              <w:tc>
                <w:tcPr>
                  <w:tcW w:w="818" w:type="pct"/>
                  <w:vMerge w:val="continue"/>
                  <w:vAlign w:val="center"/>
                </w:tcPr>
                <w:p>
                  <w:pPr>
                    <w:snapToGrid w:val="0"/>
                    <w:jc w:val="center"/>
                    <w:rPr>
                      <w:color w:val="auto"/>
                      <w:kern w:val="0"/>
                      <w:szCs w:val="21"/>
                    </w:rPr>
                  </w:pPr>
                </w:p>
              </w:tc>
            </w:tr>
            <w:bookmarkEnd w:id="43"/>
            <w:bookmarkEnd w:id="44"/>
            <w:bookmarkEnd w:id="4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restart"/>
                  <w:vAlign w:val="center"/>
                </w:tcPr>
                <w:p>
                  <w:pPr>
                    <w:snapToGrid w:val="0"/>
                    <w:jc w:val="center"/>
                    <w:rPr>
                      <w:color w:val="auto"/>
                      <w:kern w:val="0"/>
                      <w:szCs w:val="21"/>
                    </w:rPr>
                  </w:pPr>
                  <w:bookmarkStart w:id="46" w:name="OLE_LINK150"/>
                  <w:bookmarkStart w:id="47" w:name="OLE_LINK151"/>
                  <w:bookmarkStart w:id="48" w:name="OLE_LINK160"/>
                  <w:bookmarkStart w:id="49" w:name="OLE_LINK161"/>
                  <w:bookmarkStart w:id="50" w:name="OLE_LINK153" w:colFirst="1" w:colLast="1"/>
                  <w:bookmarkStart w:id="51" w:name="_Hlk532081825"/>
                  <w:bookmarkStart w:id="52" w:name="OLE_LINK152" w:colFirst="1" w:colLast="1"/>
                  <w:r>
                    <w:rPr>
                      <w:color w:val="auto"/>
                      <w:kern w:val="0"/>
                      <w:szCs w:val="21"/>
                    </w:rPr>
                    <w:t>PM</w:t>
                  </w:r>
                  <w:bookmarkEnd w:id="46"/>
                  <w:bookmarkEnd w:id="47"/>
                  <w:r>
                    <w:rPr>
                      <w:color w:val="auto"/>
                      <w:kern w:val="0"/>
                      <w:szCs w:val="21"/>
                      <w:vertAlign w:val="subscript"/>
                    </w:rPr>
                    <w:t>10</w:t>
                  </w:r>
                  <w:bookmarkEnd w:id="48"/>
                  <w:bookmarkEnd w:id="49"/>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56</w:t>
                  </w:r>
                </w:p>
              </w:tc>
              <w:tc>
                <w:tcPr>
                  <w:tcW w:w="821" w:type="pct"/>
                  <w:vAlign w:val="center"/>
                </w:tcPr>
                <w:p>
                  <w:pPr>
                    <w:snapToGrid w:val="0"/>
                    <w:jc w:val="center"/>
                    <w:rPr>
                      <w:color w:val="auto"/>
                      <w:kern w:val="0"/>
                      <w:szCs w:val="21"/>
                    </w:rPr>
                  </w:pPr>
                  <w:r>
                    <w:rPr>
                      <w:color w:val="auto"/>
                      <w:kern w:val="0"/>
                      <w:szCs w:val="21"/>
                    </w:rPr>
                    <w:t>70</w:t>
                  </w:r>
                </w:p>
              </w:tc>
              <w:tc>
                <w:tcPr>
                  <w:tcW w:w="820" w:type="pct"/>
                  <w:vAlign w:val="center"/>
                </w:tcPr>
                <w:p>
                  <w:pPr>
                    <w:snapToGrid w:val="0"/>
                    <w:jc w:val="center"/>
                    <w:rPr>
                      <w:color w:val="auto"/>
                      <w:kern w:val="0"/>
                      <w:szCs w:val="21"/>
                    </w:rPr>
                  </w:pPr>
                  <w:r>
                    <w:rPr>
                      <w:color w:val="auto"/>
                      <w:kern w:val="0"/>
                      <w:szCs w:val="21"/>
                    </w:rPr>
                    <w:t>80</w:t>
                  </w:r>
                </w:p>
              </w:tc>
              <w:tc>
                <w:tcPr>
                  <w:tcW w:w="818" w:type="pct"/>
                  <w:vMerge w:val="restart"/>
                  <w:vAlign w:val="center"/>
                </w:tcPr>
                <w:p>
                  <w:pPr>
                    <w:snapToGrid w:val="0"/>
                    <w:jc w:val="center"/>
                    <w:rPr>
                      <w:color w:val="auto"/>
                      <w:kern w:val="0"/>
                      <w:szCs w:val="21"/>
                    </w:rPr>
                  </w:pPr>
                  <w:r>
                    <w:rPr>
                      <w:color w:val="auto"/>
                      <w:kern w:val="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color w:val="auto"/>
                      <w:kern w:val="0"/>
                      <w:szCs w:val="21"/>
                    </w:rPr>
                    <w:t>未给出</w:t>
                  </w:r>
                </w:p>
              </w:tc>
              <w:tc>
                <w:tcPr>
                  <w:tcW w:w="821" w:type="pct"/>
                  <w:vAlign w:val="center"/>
                </w:tcPr>
                <w:p>
                  <w:pPr>
                    <w:snapToGrid w:val="0"/>
                    <w:jc w:val="center"/>
                    <w:rPr>
                      <w:color w:val="auto"/>
                      <w:kern w:val="0"/>
                      <w:szCs w:val="21"/>
                    </w:rPr>
                  </w:pPr>
                  <w:r>
                    <w:rPr>
                      <w:color w:val="auto"/>
                      <w:kern w:val="0"/>
                      <w:szCs w:val="21"/>
                    </w:rPr>
                    <w:t>150</w:t>
                  </w:r>
                </w:p>
              </w:tc>
              <w:tc>
                <w:tcPr>
                  <w:tcW w:w="820" w:type="pct"/>
                  <w:vAlign w:val="center"/>
                </w:tcPr>
                <w:p>
                  <w:pPr>
                    <w:snapToGrid w:val="0"/>
                    <w:jc w:val="center"/>
                    <w:rPr>
                      <w:color w:val="auto"/>
                      <w:kern w:val="0"/>
                      <w:szCs w:val="21"/>
                    </w:rPr>
                  </w:pPr>
                  <w:r>
                    <w:rPr>
                      <w:color w:val="auto"/>
                      <w:kern w:val="0"/>
                      <w:szCs w:val="21"/>
                    </w:rPr>
                    <w:t>/</w:t>
                  </w:r>
                </w:p>
              </w:tc>
              <w:tc>
                <w:tcPr>
                  <w:tcW w:w="818" w:type="pct"/>
                  <w:vMerge w:val="continue"/>
                  <w:vAlign w:val="center"/>
                </w:tcPr>
                <w:p>
                  <w:pPr>
                    <w:snapToGrid w:val="0"/>
                    <w:jc w:val="center"/>
                    <w:rPr>
                      <w:color w:val="auto"/>
                      <w:kern w:val="0"/>
                      <w:szCs w:val="21"/>
                    </w:rPr>
                  </w:pPr>
                </w:p>
              </w:tc>
            </w:tr>
            <w:bookmarkEnd w:id="50"/>
            <w:bookmarkEnd w:id="51"/>
            <w:bookmarkEnd w:id="5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17" w:type="pct"/>
                  <w:vMerge w:val="restart"/>
                  <w:vAlign w:val="center"/>
                </w:tcPr>
                <w:p>
                  <w:pPr>
                    <w:snapToGrid w:val="0"/>
                    <w:jc w:val="center"/>
                    <w:rPr>
                      <w:color w:val="auto"/>
                      <w:kern w:val="0"/>
                      <w:szCs w:val="21"/>
                    </w:rPr>
                  </w:pPr>
                  <w:bookmarkStart w:id="53" w:name="OLE_LINK162"/>
                  <w:bookmarkStart w:id="54" w:name="OLE_LINK154" w:colFirst="1" w:colLast="1"/>
                  <w:bookmarkStart w:id="55" w:name="_Hlk532081945"/>
                  <w:bookmarkStart w:id="56" w:name="OLE_LINK155" w:colFirst="1" w:colLast="1"/>
                  <w:r>
                    <w:rPr>
                      <w:color w:val="auto"/>
                      <w:kern w:val="0"/>
                      <w:szCs w:val="21"/>
                    </w:rPr>
                    <w:t>P</w:t>
                  </w:r>
                  <w:bookmarkStart w:id="57" w:name="OLE_LINK257"/>
                  <w:bookmarkStart w:id="58" w:name="OLE_LINK258"/>
                  <w:r>
                    <w:rPr>
                      <w:color w:val="auto"/>
                      <w:kern w:val="0"/>
                      <w:szCs w:val="21"/>
                    </w:rPr>
                    <w:t>M</w:t>
                  </w:r>
                  <w:r>
                    <w:rPr>
                      <w:color w:val="auto"/>
                      <w:kern w:val="0"/>
                      <w:szCs w:val="21"/>
                      <w:vertAlign w:val="subscript"/>
                    </w:rPr>
                    <w:t>2.5</w:t>
                  </w:r>
                  <w:bookmarkEnd w:id="53"/>
                  <w:bookmarkEnd w:id="57"/>
                  <w:bookmarkEnd w:id="58"/>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35</w:t>
                  </w:r>
                </w:p>
              </w:tc>
              <w:tc>
                <w:tcPr>
                  <w:tcW w:w="821" w:type="pct"/>
                  <w:vAlign w:val="center"/>
                </w:tcPr>
                <w:p>
                  <w:pPr>
                    <w:snapToGrid w:val="0"/>
                    <w:jc w:val="center"/>
                    <w:rPr>
                      <w:color w:val="auto"/>
                      <w:kern w:val="0"/>
                      <w:szCs w:val="21"/>
                    </w:rPr>
                  </w:pPr>
                  <w:r>
                    <w:rPr>
                      <w:color w:val="auto"/>
                      <w:kern w:val="0"/>
                      <w:szCs w:val="21"/>
                    </w:rPr>
                    <w:t>35</w:t>
                  </w:r>
                </w:p>
              </w:tc>
              <w:tc>
                <w:tcPr>
                  <w:tcW w:w="820" w:type="pct"/>
                  <w:vAlign w:val="center"/>
                </w:tcPr>
                <w:p>
                  <w:pPr>
                    <w:snapToGrid w:val="0"/>
                    <w:jc w:val="center"/>
                    <w:rPr>
                      <w:color w:val="auto"/>
                      <w:kern w:val="0"/>
                      <w:szCs w:val="21"/>
                    </w:rPr>
                  </w:pPr>
                  <w:r>
                    <w:rPr>
                      <w:color w:val="auto"/>
                      <w:kern w:val="0"/>
                      <w:szCs w:val="21"/>
                    </w:rPr>
                    <w:t>100</w:t>
                  </w:r>
                </w:p>
              </w:tc>
              <w:tc>
                <w:tcPr>
                  <w:tcW w:w="818" w:type="pct"/>
                  <w:vMerge w:val="restart"/>
                  <w:vAlign w:val="center"/>
                </w:tcPr>
                <w:p>
                  <w:pPr>
                    <w:snapToGrid w:val="0"/>
                    <w:jc w:val="center"/>
                    <w:rPr>
                      <w:color w:val="auto"/>
                      <w:kern w:val="0"/>
                      <w:szCs w:val="21"/>
                    </w:rPr>
                  </w:pPr>
                  <w:r>
                    <w:rPr>
                      <w:color w:val="auto"/>
                      <w:kern w:val="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color w:val="auto"/>
                      <w:kern w:val="0"/>
                      <w:szCs w:val="21"/>
                    </w:rPr>
                    <w:t>未给出</w:t>
                  </w:r>
                </w:p>
              </w:tc>
              <w:tc>
                <w:tcPr>
                  <w:tcW w:w="821" w:type="pct"/>
                  <w:vAlign w:val="center"/>
                </w:tcPr>
                <w:p>
                  <w:pPr>
                    <w:snapToGrid w:val="0"/>
                    <w:jc w:val="center"/>
                    <w:rPr>
                      <w:color w:val="auto"/>
                      <w:kern w:val="0"/>
                      <w:szCs w:val="21"/>
                    </w:rPr>
                  </w:pPr>
                  <w:r>
                    <w:rPr>
                      <w:color w:val="auto"/>
                      <w:kern w:val="0"/>
                      <w:szCs w:val="21"/>
                    </w:rPr>
                    <w:t>75</w:t>
                  </w:r>
                </w:p>
              </w:tc>
              <w:tc>
                <w:tcPr>
                  <w:tcW w:w="820" w:type="pct"/>
                  <w:vAlign w:val="center"/>
                </w:tcPr>
                <w:p>
                  <w:pPr>
                    <w:snapToGrid w:val="0"/>
                    <w:jc w:val="center"/>
                    <w:rPr>
                      <w:color w:val="auto"/>
                      <w:kern w:val="0"/>
                      <w:szCs w:val="21"/>
                    </w:rPr>
                  </w:pPr>
                  <w:r>
                    <w:rPr>
                      <w:color w:val="auto"/>
                      <w:kern w:val="0"/>
                      <w:szCs w:val="21"/>
                    </w:rPr>
                    <w:t>/</w:t>
                  </w:r>
                </w:p>
              </w:tc>
              <w:tc>
                <w:tcPr>
                  <w:tcW w:w="818" w:type="pct"/>
                  <w:vMerge w:val="continue"/>
                  <w:vAlign w:val="center"/>
                </w:tcPr>
                <w:p>
                  <w:pPr>
                    <w:snapToGrid w:val="0"/>
                    <w:jc w:val="center"/>
                    <w:rPr>
                      <w:color w:val="auto"/>
                      <w:kern w:val="0"/>
                      <w:szCs w:val="21"/>
                    </w:rPr>
                  </w:pPr>
                </w:p>
              </w:tc>
            </w:tr>
            <w:bookmarkEnd w:id="54"/>
            <w:bookmarkEnd w:id="55"/>
            <w:bookmarkEnd w:id="56"/>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96" w:hRule="atLeast"/>
                <w:jc w:val="center"/>
              </w:trPr>
              <w:tc>
                <w:tcPr>
                  <w:tcW w:w="717" w:type="pct"/>
                  <w:vMerge w:val="restart"/>
                  <w:vAlign w:val="center"/>
                </w:tcPr>
                <w:p>
                  <w:pPr>
                    <w:snapToGrid w:val="0"/>
                    <w:jc w:val="center"/>
                    <w:rPr>
                      <w:color w:val="auto"/>
                      <w:kern w:val="0"/>
                      <w:szCs w:val="21"/>
                    </w:rPr>
                  </w:pPr>
                  <w:bookmarkStart w:id="59" w:name="OLE_LINK163"/>
                  <w:bookmarkStart w:id="60" w:name="OLE_LINK263" w:colFirst="2" w:colLast="4"/>
                  <w:bookmarkStart w:id="61" w:name="_Hlk532141490"/>
                  <w:bookmarkStart w:id="62" w:name="OLE_LINK264" w:colFirst="2" w:colLast="4"/>
                  <w:bookmarkStart w:id="63" w:name="OLE_LINK260" w:colFirst="1" w:colLast="1"/>
                  <w:bookmarkStart w:id="64" w:name="_Hlk532141323"/>
                  <w:bookmarkStart w:id="65" w:name="OLE_LINK259" w:colFirst="1" w:colLast="1"/>
                  <w:r>
                    <w:rPr>
                      <w:color w:val="auto"/>
                      <w:kern w:val="0"/>
                      <w:szCs w:val="21"/>
                    </w:rPr>
                    <w:t>CO</w:t>
                  </w:r>
                  <w:bookmarkEnd w:id="59"/>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w:t>
                  </w:r>
                </w:p>
              </w:tc>
              <w:tc>
                <w:tcPr>
                  <w:tcW w:w="821" w:type="pct"/>
                  <w:vAlign w:val="center"/>
                </w:tcPr>
                <w:p>
                  <w:pPr>
                    <w:snapToGrid w:val="0"/>
                    <w:jc w:val="center"/>
                    <w:rPr>
                      <w:color w:val="auto"/>
                      <w:kern w:val="0"/>
                      <w:szCs w:val="21"/>
                    </w:rPr>
                  </w:pPr>
                  <w:r>
                    <w:rPr>
                      <w:color w:val="auto"/>
                      <w:kern w:val="0"/>
                      <w:szCs w:val="21"/>
                    </w:rPr>
                    <w:t>—</w:t>
                  </w:r>
                </w:p>
              </w:tc>
              <w:tc>
                <w:tcPr>
                  <w:tcW w:w="820" w:type="pct"/>
                  <w:vAlign w:val="center"/>
                </w:tcPr>
                <w:p>
                  <w:pPr>
                    <w:snapToGrid w:val="0"/>
                    <w:jc w:val="center"/>
                    <w:rPr>
                      <w:color w:val="auto"/>
                      <w:kern w:val="0"/>
                      <w:szCs w:val="21"/>
                    </w:rPr>
                  </w:pPr>
                  <w:r>
                    <w:rPr>
                      <w:color w:val="auto"/>
                      <w:kern w:val="0"/>
                      <w:szCs w:val="21"/>
                    </w:rPr>
                    <w:t>—</w:t>
                  </w:r>
                </w:p>
              </w:tc>
              <w:tc>
                <w:tcPr>
                  <w:tcW w:w="818" w:type="pct"/>
                  <w:vMerge w:val="restart"/>
                  <w:vAlign w:val="center"/>
                </w:tcPr>
                <w:p>
                  <w:pPr>
                    <w:snapToGrid w:val="0"/>
                    <w:jc w:val="center"/>
                    <w:rPr>
                      <w:color w:val="auto"/>
                      <w:kern w:val="0"/>
                      <w:szCs w:val="21"/>
                    </w:rPr>
                  </w:pPr>
                  <w:r>
                    <w:rPr>
                      <w:color w:val="auto"/>
                      <w:kern w:val="0"/>
                      <w:szCs w:val="21"/>
                    </w:rPr>
                    <w:t>达标</w:t>
                  </w:r>
                </w:p>
              </w:tc>
            </w:tr>
            <w:bookmarkEnd w:id="60"/>
            <w:bookmarkEnd w:id="61"/>
            <w:bookmarkEnd w:id="62"/>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rFonts w:hint="eastAsia"/>
                      <w:color w:val="auto"/>
                      <w:kern w:val="0"/>
                      <w:szCs w:val="21"/>
                    </w:rPr>
                    <w:t>1</w:t>
                  </w:r>
                  <w:r>
                    <w:rPr>
                      <w:color w:val="auto"/>
                      <w:kern w:val="0"/>
                      <w:szCs w:val="21"/>
                    </w:rPr>
                    <w:t>.3</w:t>
                  </w:r>
                </w:p>
              </w:tc>
              <w:tc>
                <w:tcPr>
                  <w:tcW w:w="821" w:type="pct"/>
                  <w:vAlign w:val="center"/>
                </w:tcPr>
                <w:p>
                  <w:pPr>
                    <w:snapToGrid w:val="0"/>
                    <w:jc w:val="center"/>
                    <w:rPr>
                      <w:color w:val="auto"/>
                      <w:kern w:val="0"/>
                      <w:szCs w:val="21"/>
                    </w:rPr>
                  </w:pPr>
                  <w:r>
                    <w:rPr>
                      <w:color w:val="auto"/>
                      <w:kern w:val="0"/>
                      <w:szCs w:val="21"/>
                    </w:rPr>
                    <w:t>4000</w:t>
                  </w:r>
                </w:p>
              </w:tc>
              <w:tc>
                <w:tcPr>
                  <w:tcW w:w="820" w:type="pct"/>
                  <w:vAlign w:val="center"/>
                </w:tcPr>
                <w:p>
                  <w:pPr>
                    <w:snapToGrid w:val="0"/>
                    <w:jc w:val="center"/>
                    <w:rPr>
                      <w:color w:val="auto"/>
                      <w:kern w:val="0"/>
                      <w:szCs w:val="21"/>
                    </w:rPr>
                  </w:pPr>
                  <w:r>
                    <w:rPr>
                      <w:color w:val="auto"/>
                      <w:kern w:val="0"/>
                      <w:szCs w:val="21"/>
                    </w:rPr>
                    <w:t>0.0325</w:t>
                  </w:r>
                </w:p>
              </w:tc>
              <w:tc>
                <w:tcPr>
                  <w:tcW w:w="818" w:type="pct"/>
                  <w:vMerge w:val="continue"/>
                  <w:vAlign w:val="center"/>
                </w:tcPr>
                <w:p>
                  <w:pPr>
                    <w:snapToGrid w:val="0"/>
                    <w:jc w:val="center"/>
                    <w:rPr>
                      <w:color w:val="auto"/>
                      <w:kern w:val="0"/>
                      <w:szCs w:val="21"/>
                    </w:rPr>
                  </w:pPr>
                </w:p>
              </w:tc>
            </w:tr>
            <w:bookmarkEnd w:id="63"/>
            <w:bookmarkEnd w:id="64"/>
            <w:bookmarkEnd w:id="65"/>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restart"/>
                  <w:vAlign w:val="center"/>
                </w:tcPr>
                <w:p>
                  <w:pPr>
                    <w:snapToGrid w:val="0"/>
                    <w:jc w:val="center"/>
                    <w:rPr>
                      <w:color w:val="auto"/>
                      <w:kern w:val="0"/>
                      <w:szCs w:val="21"/>
                    </w:rPr>
                  </w:pPr>
                  <w:bookmarkStart w:id="66" w:name="OLE_LINK266" w:colFirst="5" w:colLast="5"/>
                  <w:bookmarkStart w:id="67" w:name="OLE_LINK265" w:colFirst="5" w:colLast="5"/>
                  <w:bookmarkStart w:id="68" w:name="_Hlk532141495"/>
                  <w:r>
                    <w:rPr>
                      <w:color w:val="auto"/>
                      <w:kern w:val="0"/>
                      <w:szCs w:val="21"/>
                    </w:rPr>
                    <w:t>O</w:t>
                  </w:r>
                  <w:r>
                    <w:rPr>
                      <w:color w:val="auto"/>
                      <w:kern w:val="0"/>
                      <w:szCs w:val="21"/>
                      <w:vertAlign w:val="subscript"/>
                    </w:rPr>
                    <w:t>3</w:t>
                  </w:r>
                </w:p>
              </w:tc>
              <w:tc>
                <w:tcPr>
                  <w:tcW w:w="924" w:type="pct"/>
                  <w:vAlign w:val="center"/>
                </w:tcPr>
                <w:p>
                  <w:pPr>
                    <w:snapToGrid w:val="0"/>
                    <w:jc w:val="center"/>
                    <w:rPr>
                      <w:color w:val="auto"/>
                      <w:kern w:val="0"/>
                      <w:szCs w:val="21"/>
                    </w:rPr>
                  </w:pPr>
                  <w:r>
                    <w:rPr>
                      <w:color w:val="auto"/>
                      <w:kern w:val="0"/>
                      <w:szCs w:val="21"/>
                    </w:rPr>
                    <w:t>年平均质量浓度</w:t>
                  </w:r>
                </w:p>
              </w:tc>
              <w:tc>
                <w:tcPr>
                  <w:tcW w:w="901" w:type="pct"/>
                  <w:vAlign w:val="center"/>
                </w:tcPr>
                <w:p>
                  <w:pPr>
                    <w:snapToGrid w:val="0"/>
                    <w:jc w:val="center"/>
                    <w:rPr>
                      <w:color w:val="auto"/>
                      <w:kern w:val="0"/>
                      <w:szCs w:val="21"/>
                    </w:rPr>
                  </w:pPr>
                  <w:r>
                    <w:rPr>
                      <w:color w:val="auto"/>
                      <w:kern w:val="0"/>
                      <w:szCs w:val="21"/>
                    </w:rPr>
                    <w:t>—</w:t>
                  </w:r>
                </w:p>
              </w:tc>
              <w:tc>
                <w:tcPr>
                  <w:tcW w:w="821" w:type="pct"/>
                  <w:vAlign w:val="center"/>
                </w:tcPr>
                <w:p>
                  <w:pPr>
                    <w:snapToGrid w:val="0"/>
                    <w:jc w:val="center"/>
                    <w:rPr>
                      <w:color w:val="auto"/>
                      <w:kern w:val="0"/>
                      <w:szCs w:val="21"/>
                    </w:rPr>
                  </w:pPr>
                  <w:r>
                    <w:rPr>
                      <w:color w:val="auto"/>
                      <w:kern w:val="0"/>
                      <w:szCs w:val="21"/>
                    </w:rPr>
                    <w:t>—</w:t>
                  </w:r>
                </w:p>
              </w:tc>
              <w:tc>
                <w:tcPr>
                  <w:tcW w:w="820" w:type="pct"/>
                  <w:vAlign w:val="center"/>
                </w:tcPr>
                <w:p>
                  <w:pPr>
                    <w:snapToGrid w:val="0"/>
                    <w:jc w:val="center"/>
                    <w:rPr>
                      <w:color w:val="auto"/>
                      <w:kern w:val="0"/>
                      <w:szCs w:val="21"/>
                    </w:rPr>
                  </w:pPr>
                  <w:r>
                    <w:rPr>
                      <w:color w:val="auto"/>
                      <w:kern w:val="0"/>
                      <w:szCs w:val="21"/>
                    </w:rPr>
                    <w:t>—</w:t>
                  </w:r>
                </w:p>
              </w:tc>
              <w:tc>
                <w:tcPr>
                  <w:tcW w:w="818" w:type="pct"/>
                  <w:vMerge w:val="restart"/>
                  <w:vAlign w:val="center"/>
                </w:tcPr>
                <w:p>
                  <w:pPr>
                    <w:snapToGrid w:val="0"/>
                    <w:jc w:val="center"/>
                    <w:rPr>
                      <w:color w:val="auto"/>
                      <w:kern w:val="0"/>
                      <w:szCs w:val="21"/>
                    </w:rPr>
                  </w:pPr>
                  <w:r>
                    <w:rPr>
                      <w:color w:val="auto"/>
                      <w:kern w:val="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17" w:type="pct"/>
                  <w:vMerge w:val="continue"/>
                  <w:vAlign w:val="center"/>
                </w:tcPr>
                <w:p>
                  <w:pPr>
                    <w:snapToGrid w:val="0"/>
                    <w:jc w:val="center"/>
                    <w:rPr>
                      <w:color w:val="auto"/>
                      <w:kern w:val="0"/>
                      <w:szCs w:val="21"/>
                    </w:rPr>
                  </w:pPr>
                </w:p>
              </w:tc>
              <w:tc>
                <w:tcPr>
                  <w:tcW w:w="924" w:type="pct"/>
                  <w:vAlign w:val="center"/>
                </w:tcPr>
                <w:p>
                  <w:pPr>
                    <w:adjustRightInd w:val="0"/>
                    <w:snapToGrid w:val="0"/>
                    <w:jc w:val="center"/>
                    <w:rPr>
                      <w:color w:val="auto"/>
                      <w:kern w:val="0"/>
                      <w:szCs w:val="21"/>
                    </w:rPr>
                  </w:pPr>
                  <w:r>
                    <w:rPr>
                      <w:color w:val="auto"/>
                      <w:kern w:val="0"/>
                      <w:szCs w:val="21"/>
                    </w:rPr>
                    <w:t>百分位数日平均质量浓度</w:t>
                  </w:r>
                </w:p>
              </w:tc>
              <w:tc>
                <w:tcPr>
                  <w:tcW w:w="901" w:type="pct"/>
                  <w:vAlign w:val="center"/>
                </w:tcPr>
                <w:p>
                  <w:pPr>
                    <w:snapToGrid w:val="0"/>
                    <w:jc w:val="center"/>
                    <w:rPr>
                      <w:color w:val="auto"/>
                      <w:kern w:val="0"/>
                      <w:szCs w:val="21"/>
                    </w:rPr>
                  </w:pPr>
                  <w:r>
                    <w:rPr>
                      <w:rFonts w:hint="eastAsia"/>
                      <w:color w:val="auto"/>
                      <w:kern w:val="0"/>
                      <w:szCs w:val="21"/>
                    </w:rPr>
                    <w:t>1</w:t>
                  </w:r>
                  <w:r>
                    <w:rPr>
                      <w:color w:val="auto"/>
                      <w:kern w:val="0"/>
                      <w:szCs w:val="21"/>
                    </w:rPr>
                    <w:t>59</w:t>
                  </w:r>
                </w:p>
              </w:tc>
              <w:tc>
                <w:tcPr>
                  <w:tcW w:w="821" w:type="pct"/>
                  <w:vAlign w:val="center"/>
                </w:tcPr>
                <w:p>
                  <w:pPr>
                    <w:snapToGrid w:val="0"/>
                    <w:jc w:val="center"/>
                    <w:rPr>
                      <w:color w:val="auto"/>
                      <w:kern w:val="0"/>
                      <w:szCs w:val="21"/>
                    </w:rPr>
                  </w:pPr>
                  <w:r>
                    <w:rPr>
                      <w:color w:val="auto"/>
                      <w:kern w:val="0"/>
                      <w:szCs w:val="21"/>
                    </w:rPr>
                    <w:t>160</w:t>
                  </w:r>
                </w:p>
              </w:tc>
              <w:tc>
                <w:tcPr>
                  <w:tcW w:w="820" w:type="pct"/>
                  <w:vAlign w:val="center"/>
                </w:tcPr>
                <w:p>
                  <w:pPr>
                    <w:snapToGrid w:val="0"/>
                    <w:jc w:val="center"/>
                    <w:rPr>
                      <w:color w:val="auto"/>
                      <w:kern w:val="0"/>
                      <w:szCs w:val="21"/>
                    </w:rPr>
                  </w:pPr>
                  <w:r>
                    <w:rPr>
                      <w:color w:val="auto"/>
                      <w:kern w:val="0"/>
                      <w:szCs w:val="21"/>
                    </w:rPr>
                    <w:t>99.375</w:t>
                  </w:r>
                </w:p>
              </w:tc>
              <w:tc>
                <w:tcPr>
                  <w:tcW w:w="818" w:type="pct"/>
                  <w:vMerge w:val="continue"/>
                  <w:vAlign w:val="center"/>
                </w:tcPr>
                <w:p>
                  <w:pPr>
                    <w:snapToGrid w:val="0"/>
                    <w:jc w:val="center"/>
                    <w:rPr>
                      <w:color w:val="auto"/>
                      <w:kern w:val="0"/>
                      <w:szCs w:val="21"/>
                    </w:rPr>
                  </w:pPr>
                </w:p>
              </w:tc>
            </w:tr>
            <w:bookmarkEnd w:id="66"/>
            <w:bookmarkEnd w:id="67"/>
            <w:bookmarkEnd w:id="68"/>
          </w:tbl>
          <w:p>
            <w:pPr>
              <w:pStyle w:val="2"/>
              <w:rPr>
                <w:color w:val="auto"/>
              </w:rPr>
            </w:pPr>
          </w:p>
          <w:p>
            <w:pPr>
              <w:pStyle w:val="99"/>
              <w:adjustRightInd/>
              <w:spacing w:line="355" w:lineRule="auto"/>
              <w:ind w:firstLine="480" w:firstLineChars="200"/>
              <w:rPr>
                <w:rFonts w:eastAsia="宋体"/>
                <w:color w:val="auto"/>
                <w:sz w:val="24"/>
              </w:rPr>
            </w:pPr>
            <w:r>
              <w:rPr>
                <w:rFonts w:hint="eastAsia" w:eastAsia="宋体"/>
                <w:color w:val="auto"/>
                <w:sz w:val="24"/>
              </w:rPr>
              <w:t>（</w:t>
            </w:r>
            <w:r>
              <w:rPr>
                <w:rFonts w:eastAsia="宋体"/>
                <w:color w:val="auto"/>
                <w:sz w:val="24"/>
              </w:rPr>
              <w:t>2）达标区判定</w:t>
            </w:r>
          </w:p>
          <w:p>
            <w:pPr>
              <w:pStyle w:val="99"/>
              <w:adjustRightInd/>
              <w:spacing w:line="355" w:lineRule="auto"/>
              <w:ind w:firstLine="480" w:firstLineChars="200"/>
              <w:rPr>
                <w:rFonts w:eastAsia="宋体"/>
                <w:color w:val="auto"/>
                <w:sz w:val="24"/>
              </w:rPr>
            </w:pPr>
            <w:r>
              <w:rPr>
                <w:rFonts w:hint="eastAsia" w:eastAsia="宋体"/>
                <w:color w:val="auto"/>
                <w:sz w:val="24"/>
              </w:rPr>
              <w:t>根据《揭阳市环境质量报告书（二〇一八年度</w:t>
            </w:r>
            <w:r>
              <w:rPr>
                <w:rFonts w:eastAsia="宋体"/>
                <w:color w:val="auto"/>
                <w:sz w:val="24"/>
              </w:rPr>
              <w:t>公众版）》中的数据和结论，项目所在区域判定为达标区。</w:t>
            </w:r>
          </w:p>
          <w:p>
            <w:pPr>
              <w:pStyle w:val="14"/>
              <w:spacing w:line="360" w:lineRule="auto"/>
              <w:ind w:firstLine="241" w:firstLineChars="100"/>
              <w:rPr>
                <w:b/>
                <w:color w:val="auto"/>
              </w:rPr>
            </w:pPr>
            <w:r>
              <w:rPr>
                <w:rFonts w:hint="eastAsia"/>
                <w:b/>
                <w:color w:val="auto"/>
              </w:rPr>
              <w:t>2.　</w:t>
            </w:r>
            <w:r>
              <w:rPr>
                <w:b/>
                <w:color w:val="auto"/>
              </w:rPr>
              <w:t>地表水环境质量现状</w:t>
            </w:r>
          </w:p>
          <w:p>
            <w:pPr>
              <w:pStyle w:val="99"/>
              <w:spacing w:line="355" w:lineRule="auto"/>
              <w:ind w:firstLine="480" w:firstLineChars="200"/>
              <w:rPr>
                <w:rFonts w:eastAsia="宋体"/>
                <w:color w:val="auto"/>
                <w:sz w:val="24"/>
              </w:rPr>
            </w:pPr>
            <w:r>
              <w:rPr>
                <w:rFonts w:hint="eastAsia" w:eastAsia="宋体"/>
                <w:color w:val="auto"/>
                <w:sz w:val="24"/>
              </w:rPr>
              <w:t>本项目生活污水经地埋式一体化污水处理设施处理后达到《城市污水再生利用</w:t>
            </w:r>
            <w:r>
              <w:rPr>
                <w:rFonts w:eastAsia="宋体"/>
                <w:color w:val="auto"/>
                <w:sz w:val="24"/>
              </w:rPr>
              <w:t> </w:t>
            </w:r>
            <w:r>
              <w:rPr>
                <w:rFonts w:hint="eastAsia" w:eastAsia="宋体"/>
                <w:color w:val="auto"/>
                <w:sz w:val="24"/>
              </w:rPr>
              <w:t>城市杂用水水质》（</w:t>
            </w:r>
            <w:r>
              <w:rPr>
                <w:rFonts w:eastAsia="宋体"/>
                <w:color w:val="auto"/>
                <w:sz w:val="24"/>
              </w:rPr>
              <w:t>GB/T18920-2002</w:t>
            </w:r>
            <w:r>
              <w:rPr>
                <w:rFonts w:hint="eastAsia" w:eastAsia="宋体"/>
                <w:color w:val="auto"/>
                <w:sz w:val="24"/>
              </w:rPr>
              <w:t>）中绿化用水标准要求后回用于厂区绿化灌溉，不外排</w:t>
            </w:r>
            <w:r>
              <w:rPr>
                <w:rFonts w:eastAsia="宋体"/>
                <w:color w:val="auto"/>
                <w:sz w:val="24"/>
              </w:rPr>
              <w:t>。</w:t>
            </w:r>
          </w:p>
          <w:p>
            <w:pPr>
              <w:pStyle w:val="99"/>
              <w:spacing w:line="355" w:lineRule="auto"/>
              <w:ind w:firstLine="480" w:firstLineChars="200"/>
              <w:rPr>
                <w:rFonts w:eastAsia="宋体"/>
                <w:color w:val="auto"/>
                <w:sz w:val="24"/>
              </w:rPr>
            </w:pPr>
            <w:r>
              <w:rPr>
                <w:rFonts w:hint="eastAsia" w:eastAsia="宋体"/>
                <w:color w:val="auto"/>
                <w:sz w:val="24"/>
              </w:rPr>
              <w:t>项目附近</w:t>
            </w:r>
            <w:r>
              <w:rPr>
                <w:rFonts w:eastAsia="宋体"/>
                <w:color w:val="auto"/>
                <w:sz w:val="24"/>
              </w:rPr>
              <w:t>水体</w:t>
            </w:r>
            <w:r>
              <w:rPr>
                <w:rFonts w:hint="eastAsia" w:eastAsia="宋体"/>
                <w:color w:val="auto"/>
                <w:sz w:val="24"/>
              </w:rPr>
              <w:t>无名</w:t>
            </w:r>
            <w:r>
              <w:rPr>
                <w:rFonts w:eastAsia="宋体"/>
                <w:color w:val="auto"/>
                <w:sz w:val="24"/>
              </w:rPr>
              <w:t>沟渠为</w:t>
            </w:r>
            <w:r>
              <w:rPr>
                <w:rFonts w:hint="eastAsia" w:eastAsia="宋体"/>
                <w:color w:val="auto"/>
                <w:sz w:val="24"/>
              </w:rPr>
              <w:t>练江</w:t>
            </w:r>
            <w:r>
              <w:rPr>
                <w:rFonts w:eastAsia="宋体"/>
                <w:color w:val="auto"/>
                <w:sz w:val="24"/>
              </w:rPr>
              <w:t>支流，</w:t>
            </w:r>
            <w:r>
              <w:rPr>
                <w:rFonts w:hint="eastAsia" w:eastAsia="宋体"/>
                <w:color w:val="auto"/>
                <w:sz w:val="24"/>
              </w:rPr>
              <w:t>练</w:t>
            </w:r>
            <w:r>
              <w:rPr>
                <w:rFonts w:eastAsia="宋体"/>
                <w:color w:val="auto"/>
                <w:sz w:val="24"/>
              </w:rPr>
              <w:t>江及其支流</w:t>
            </w:r>
            <w:r>
              <w:rPr>
                <w:rFonts w:hint="eastAsia" w:eastAsia="宋体"/>
                <w:color w:val="auto"/>
                <w:sz w:val="24"/>
              </w:rPr>
              <w:t>属于Ⅴ类水功能区，执行国家《地表水环境质量标准》（GB3838-2002）中的Ⅴ类标准。</w:t>
            </w:r>
          </w:p>
          <w:p>
            <w:pPr>
              <w:pStyle w:val="99"/>
              <w:spacing w:line="355" w:lineRule="auto"/>
              <w:ind w:firstLine="480" w:firstLineChars="200"/>
              <w:rPr>
                <w:rFonts w:eastAsia="宋体"/>
                <w:color w:val="auto"/>
                <w:sz w:val="24"/>
              </w:rPr>
            </w:pPr>
            <w:r>
              <w:rPr>
                <w:rFonts w:hint="eastAsia" w:eastAsia="宋体"/>
                <w:color w:val="auto"/>
                <w:sz w:val="24"/>
              </w:rPr>
              <w:t>根据《揭阳市环境质量报告书（二O一八年度公众版）》，2018年练江普宁河段水质劣于Ⅴ类，水体受到重度污染，主要污染指标为氨氮（5.14）、溶解氧（3.20）、总磷（2.35）。与去年相比水质类别无明显变化，氨氮、总磷和化学需氧量（三项）主要指标综合污染指数为3.92，与上年相比上升28.8%，水质有所恶化。超标原因主要是河流两侧分布着大面积农田，农田施肥可能引起的污染物浓度提升导致。</w:t>
            </w:r>
          </w:p>
          <w:p>
            <w:pPr>
              <w:pStyle w:val="213"/>
              <w:snapToGrid w:val="0"/>
              <w:spacing w:line="420" w:lineRule="exact"/>
              <w:ind w:firstLine="480"/>
              <w:rPr>
                <w:rFonts w:cs="Times New Roman"/>
                <w:color w:val="auto"/>
              </w:rPr>
            </w:pPr>
            <w:r>
              <w:rPr>
                <w:rFonts w:hint="eastAsia" w:cs="Times New Roman"/>
                <w:color w:val="auto"/>
              </w:rPr>
              <w:t>目前，练江流域内的普宁市区污水处理厂、占</w:t>
            </w:r>
            <w:r>
              <w:rPr>
                <w:rFonts w:cs="Times New Roman"/>
                <w:color w:val="auto"/>
              </w:rPr>
              <w:t>陇污水</w:t>
            </w:r>
            <w:r>
              <w:rPr>
                <w:rFonts w:hint="eastAsia" w:cs="Times New Roman"/>
                <w:color w:val="auto"/>
              </w:rPr>
              <w:t>处理厂等市政污水厂</w:t>
            </w:r>
            <w:r>
              <w:rPr>
                <w:rFonts w:cs="Times New Roman"/>
                <w:color w:val="auto"/>
              </w:rPr>
              <w:t>已投入运营，</w:t>
            </w:r>
            <w:r>
              <w:rPr>
                <w:rFonts w:hint="eastAsia" w:cs="Times New Roman"/>
                <w:color w:val="auto"/>
              </w:rPr>
              <w:t>排</w:t>
            </w:r>
            <w:r>
              <w:rPr>
                <w:rFonts w:cs="Times New Roman"/>
                <w:color w:val="auto"/>
              </w:rPr>
              <w:t>污管网也在</w:t>
            </w:r>
            <w:r>
              <w:rPr>
                <w:rFonts w:hint="eastAsia" w:cs="Times New Roman"/>
                <w:color w:val="auto"/>
              </w:rPr>
              <w:t>铺设</w:t>
            </w:r>
            <w:r>
              <w:rPr>
                <w:rFonts w:cs="Times New Roman"/>
                <w:color w:val="auto"/>
              </w:rPr>
              <w:t>完善</w:t>
            </w:r>
            <w:r>
              <w:rPr>
                <w:rFonts w:hint="eastAsia" w:cs="Times New Roman"/>
                <w:color w:val="auto"/>
              </w:rPr>
              <w:t>，流域内的的居民、村民生活污水等污染源将得到将大幅度消除，练江的水质将得到明显的改善。</w:t>
            </w:r>
          </w:p>
          <w:p>
            <w:pPr>
              <w:snapToGrid w:val="0"/>
              <w:spacing w:before="120" w:beforeLines="50" w:line="420" w:lineRule="exact"/>
              <w:rPr>
                <w:b/>
                <w:color w:val="auto"/>
                <w:sz w:val="24"/>
              </w:rPr>
            </w:pPr>
            <w:r>
              <w:rPr>
                <w:b/>
                <w:color w:val="auto"/>
                <w:sz w:val="24"/>
              </w:rPr>
              <w:t>三、声环境质量现状</w:t>
            </w:r>
          </w:p>
          <w:p>
            <w:pPr>
              <w:pStyle w:val="213"/>
              <w:snapToGrid w:val="0"/>
              <w:spacing w:line="420" w:lineRule="exact"/>
              <w:ind w:firstLine="480"/>
              <w:rPr>
                <w:rFonts w:cs="Times New Roman"/>
                <w:color w:val="auto"/>
              </w:rPr>
            </w:pPr>
            <w:r>
              <w:rPr>
                <w:rFonts w:cs="Times New Roman"/>
                <w:color w:val="auto"/>
              </w:rPr>
              <w:t>项目所在地属</w:t>
            </w:r>
            <w:r>
              <w:rPr>
                <w:rFonts w:cs="Times New Roman"/>
                <w:color w:val="auto"/>
                <w:kern w:val="0"/>
                <w:szCs w:val="21"/>
              </w:rPr>
              <w:t>所在地属2类区，《声环境质量标准》执行(GB3096-2008) 2类标准</w:t>
            </w:r>
            <w:r>
              <w:rPr>
                <w:rFonts w:cs="Times New Roman"/>
                <w:color w:val="auto"/>
              </w:rPr>
              <w:t>。本次环评在项目厂界共设4个测点，使用经校准的</w:t>
            </w:r>
            <w:r>
              <w:rPr>
                <w:rFonts w:cs="Times New Roman"/>
                <w:color w:val="auto"/>
                <w:szCs w:val="21"/>
              </w:rPr>
              <w:t>多功能声级计</w:t>
            </w:r>
            <w:r>
              <w:rPr>
                <w:rFonts w:cs="Times New Roman"/>
                <w:color w:val="auto"/>
              </w:rPr>
              <w:t>（型号</w:t>
            </w:r>
            <w:r>
              <w:rPr>
                <w:rFonts w:cs="Times New Roman"/>
                <w:color w:val="auto"/>
                <w:szCs w:val="21"/>
              </w:rPr>
              <w:t>AWA5680</w:t>
            </w:r>
            <w:r>
              <w:rPr>
                <w:rFonts w:cs="Times New Roman"/>
                <w:color w:val="auto"/>
              </w:rPr>
              <w:t>）进行监测。</w:t>
            </w:r>
          </w:p>
          <w:p>
            <w:pPr>
              <w:pStyle w:val="213"/>
              <w:snapToGrid w:val="0"/>
              <w:spacing w:line="420" w:lineRule="exact"/>
              <w:ind w:firstLine="480"/>
              <w:rPr>
                <w:rFonts w:cs="Times New Roman"/>
                <w:color w:val="auto"/>
              </w:rPr>
            </w:pPr>
            <w:r>
              <w:rPr>
                <w:rFonts w:cs="Times New Roman"/>
                <w:color w:val="auto"/>
              </w:rPr>
              <w:t>监测时间：2019年7月3日-4日。</w:t>
            </w:r>
          </w:p>
          <w:p>
            <w:pPr>
              <w:pStyle w:val="213"/>
              <w:snapToGrid w:val="0"/>
              <w:spacing w:line="420" w:lineRule="exact"/>
              <w:ind w:firstLine="480"/>
              <w:rPr>
                <w:rFonts w:cs="Times New Roman"/>
                <w:color w:val="auto"/>
              </w:rPr>
            </w:pPr>
            <w:r>
              <w:rPr>
                <w:rFonts w:cs="Times New Roman"/>
                <w:color w:val="auto"/>
              </w:rPr>
              <w:t>监测结果统计见下表所示。</w:t>
            </w:r>
          </w:p>
          <w:p>
            <w:pPr>
              <w:pStyle w:val="203"/>
              <w:wordWrap w:val="0"/>
              <w:spacing w:line="240" w:lineRule="auto"/>
              <w:ind w:right="964"/>
              <w:rPr>
                <w:rFonts w:eastAsia="宋体" w:cs="Times New Roman"/>
                <w:b/>
                <w:color w:val="auto"/>
              </w:rPr>
            </w:pPr>
            <w:r>
              <w:rPr>
                <w:rFonts w:eastAsia="宋体" w:cs="Times New Roman"/>
                <w:b/>
                <w:color w:val="auto"/>
              </w:rPr>
              <w:t>　　表3-4建设项目周围环境噪声现状监测结果</w:t>
            </w:r>
            <w:r>
              <w:rPr>
                <w:rFonts w:eastAsia="宋体" w:cs="Times New Roman"/>
                <w:color w:val="auto"/>
              </w:rPr>
              <w:t>单位：dB(A)</w:t>
            </w:r>
          </w:p>
          <w:tbl>
            <w:tblPr>
              <w:tblStyle w:val="29"/>
              <w:tblW w:w="916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3535"/>
              <w:gridCol w:w="1275"/>
              <w:gridCol w:w="1418"/>
              <w:gridCol w:w="1417"/>
              <w:gridCol w:w="1515"/>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45" w:hRule="atLeast"/>
                <w:jc w:val="center"/>
              </w:trPr>
              <w:tc>
                <w:tcPr>
                  <w:tcW w:w="3535" w:type="dxa"/>
                  <w:vMerge w:val="restart"/>
                  <w:tcBorders>
                    <w:top w:val="single" w:color="auto" w:sz="4" w:space="0"/>
                    <w:left w:val="single" w:color="auto" w:sz="4"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时间</w:t>
                  </w:r>
                </w:p>
                <w:p>
                  <w:pPr>
                    <w:pStyle w:val="199"/>
                    <w:rPr>
                      <w:rFonts w:cs="Times New Roman"/>
                      <w:color w:val="auto"/>
                      <w:szCs w:val="21"/>
                    </w:rPr>
                  </w:pPr>
                  <w:r>
                    <w:rPr>
                      <w:rFonts w:cs="Times New Roman"/>
                      <w:color w:val="auto"/>
                      <w:szCs w:val="21"/>
                    </w:rPr>
                    <w:t>测点</w:t>
                  </w:r>
                </w:p>
              </w:tc>
              <w:tc>
                <w:tcPr>
                  <w:tcW w:w="2693" w:type="dxa"/>
                  <w:gridSpan w:val="2"/>
                  <w:tcBorders>
                    <w:top w:val="single" w:color="auto" w:sz="4" w:space="0"/>
                    <w:left w:val="single" w:color="auto" w:sz="6"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2019年7月3日</w:t>
                  </w:r>
                </w:p>
              </w:tc>
              <w:tc>
                <w:tcPr>
                  <w:tcW w:w="2932" w:type="dxa"/>
                  <w:gridSpan w:val="2"/>
                  <w:tcBorders>
                    <w:top w:val="single" w:color="auto" w:sz="4" w:space="0"/>
                    <w:left w:val="single" w:color="auto" w:sz="6" w:space="0"/>
                    <w:bottom w:val="single" w:color="auto" w:sz="6" w:space="0"/>
                    <w:right w:val="single" w:color="auto" w:sz="4" w:space="0"/>
                  </w:tcBorders>
                  <w:vAlign w:val="center"/>
                </w:tcPr>
                <w:p>
                  <w:pPr>
                    <w:pStyle w:val="199"/>
                    <w:rPr>
                      <w:rFonts w:cs="Times New Roman"/>
                      <w:color w:val="auto"/>
                      <w:szCs w:val="21"/>
                    </w:rPr>
                  </w:pPr>
                  <w:r>
                    <w:rPr>
                      <w:rFonts w:cs="Times New Roman"/>
                      <w:color w:val="auto"/>
                      <w:szCs w:val="21"/>
                    </w:rPr>
                    <w:t>2019年7月4日</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17" w:hRule="atLeast"/>
                <w:jc w:val="center"/>
              </w:trPr>
              <w:tc>
                <w:tcPr>
                  <w:tcW w:w="3535" w:type="dxa"/>
                  <w:vMerge w:val="continue"/>
                  <w:tcBorders>
                    <w:top w:val="single" w:color="auto" w:sz="4" w:space="0"/>
                    <w:left w:val="single" w:color="auto" w:sz="4" w:space="0"/>
                    <w:bottom w:val="single" w:color="auto" w:sz="6" w:space="0"/>
                    <w:right w:val="single" w:color="auto" w:sz="6" w:space="0"/>
                  </w:tcBorders>
                  <w:vAlign w:val="center"/>
                </w:tcPr>
                <w:p>
                  <w:pPr>
                    <w:widowControl/>
                    <w:jc w:val="left"/>
                    <w:rPr>
                      <w:color w:val="auto"/>
                      <w:szCs w:val="21"/>
                    </w:rPr>
                  </w:pPr>
                </w:p>
              </w:tc>
              <w:tc>
                <w:tcPr>
                  <w:tcW w:w="1275"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昼间(Leq)</w:t>
                  </w:r>
                </w:p>
              </w:tc>
              <w:tc>
                <w:tcPr>
                  <w:tcW w:w="1418"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夜间(Leq)</w:t>
                  </w:r>
                </w:p>
              </w:tc>
              <w:tc>
                <w:tcPr>
                  <w:tcW w:w="1417"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昼间(Leq)</w:t>
                  </w:r>
                </w:p>
              </w:tc>
              <w:tc>
                <w:tcPr>
                  <w:tcW w:w="1515" w:type="dxa"/>
                  <w:tcBorders>
                    <w:top w:val="single" w:color="auto" w:sz="6" w:space="0"/>
                    <w:left w:val="single" w:color="auto" w:sz="6" w:space="0"/>
                    <w:bottom w:val="single" w:color="auto" w:sz="6" w:space="0"/>
                    <w:right w:val="single" w:color="auto" w:sz="4" w:space="0"/>
                  </w:tcBorders>
                  <w:vAlign w:val="center"/>
                </w:tcPr>
                <w:p>
                  <w:pPr>
                    <w:pStyle w:val="199"/>
                    <w:rPr>
                      <w:rFonts w:cs="Times New Roman"/>
                      <w:color w:val="auto"/>
                      <w:szCs w:val="21"/>
                    </w:rPr>
                  </w:pPr>
                  <w:r>
                    <w:rPr>
                      <w:rFonts w:cs="Times New Roman"/>
                      <w:color w:val="auto"/>
                      <w:szCs w:val="21"/>
                    </w:rPr>
                    <w:t>夜间(Leq)</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5" w:hRule="exact"/>
                <w:jc w:val="center"/>
              </w:trPr>
              <w:tc>
                <w:tcPr>
                  <w:tcW w:w="3535" w:type="dxa"/>
                  <w:tcBorders>
                    <w:top w:val="single" w:color="auto" w:sz="6" w:space="0"/>
                    <w:left w:val="single" w:color="auto" w:sz="4"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1#项目边界</w:t>
                  </w:r>
                  <w:r>
                    <w:rPr>
                      <w:rFonts w:hint="eastAsia" w:cs="Times New Roman"/>
                      <w:color w:val="auto"/>
                      <w:szCs w:val="21"/>
                    </w:rPr>
                    <w:t>东</w:t>
                  </w:r>
                  <w:r>
                    <w:rPr>
                      <w:rFonts w:cs="Times New Roman"/>
                      <w:color w:val="auto"/>
                      <w:szCs w:val="21"/>
                    </w:rPr>
                    <w:t>侧边界外1m</w:t>
                  </w:r>
                </w:p>
              </w:tc>
              <w:tc>
                <w:tcPr>
                  <w:tcW w:w="1275"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58</w:t>
                  </w:r>
                </w:p>
              </w:tc>
              <w:tc>
                <w:tcPr>
                  <w:tcW w:w="1418"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48</w:t>
                  </w:r>
                </w:p>
              </w:tc>
              <w:tc>
                <w:tcPr>
                  <w:tcW w:w="1417"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kern w:val="0"/>
                      <w:szCs w:val="21"/>
                    </w:rPr>
                  </w:pPr>
                  <w:r>
                    <w:rPr>
                      <w:rFonts w:cs="Times New Roman"/>
                      <w:color w:val="auto"/>
                      <w:kern w:val="0"/>
                      <w:szCs w:val="21"/>
                    </w:rPr>
                    <w:t>58</w:t>
                  </w:r>
                </w:p>
              </w:tc>
              <w:tc>
                <w:tcPr>
                  <w:tcW w:w="1515" w:type="dxa"/>
                  <w:tcBorders>
                    <w:top w:val="single" w:color="auto" w:sz="6" w:space="0"/>
                    <w:left w:val="single" w:color="auto" w:sz="6" w:space="0"/>
                    <w:bottom w:val="single" w:color="auto" w:sz="6" w:space="0"/>
                    <w:right w:val="single" w:color="auto" w:sz="4" w:space="0"/>
                  </w:tcBorders>
                  <w:vAlign w:val="center"/>
                </w:tcPr>
                <w:p>
                  <w:pPr>
                    <w:pStyle w:val="199"/>
                    <w:rPr>
                      <w:rFonts w:cs="Times New Roman"/>
                      <w:color w:val="auto"/>
                      <w:kern w:val="0"/>
                      <w:szCs w:val="21"/>
                    </w:rPr>
                  </w:pPr>
                  <w:r>
                    <w:rPr>
                      <w:rFonts w:cs="Times New Roman"/>
                      <w:color w:val="auto"/>
                      <w:kern w:val="0"/>
                      <w:szCs w:val="21"/>
                    </w:rPr>
                    <w:t>48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30" w:hRule="exact"/>
                <w:jc w:val="center"/>
              </w:trPr>
              <w:tc>
                <w:tcPr>
                  <w:tcW w:w="3535" w:type="dxa"/>
                  <w:tcBorders>
                    <w:top w:val="single" w:color="auto" w:sz="6" w:space="0"/>
                    <w:left w:val="single" w:color="auto" w:sz="4"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2#项目边界</w:t>
                  </w:r>
                  <w:r>
                    <w:rPr>
                      <w:rFonts w:hint="eastAsia" w:cs="Times New Roman"/>
                      <w:color w:val="auto"/>
                      <w:szCs w:val="21"/>
                    </w:rPr>
                    <w:t>南</w:t>
                  </w:r>
                  <w:r>
                    <w:rPr>
                      <w:rFonts w:cs="Times New Roman"/>
                      <w:color w:val="auto"/>
                      <w:szCs w:val="21"/>
                    </w:rPr>
                    <w:t>侧边界外1m</w:t>
                  </w:r>
                </w:p>
              </w:tc>
              <w:tc>
                <w:tcPr>
                  <w:tcW w:w="1275"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58</w:t>
                  </w:r>
                </w:p>
              </w:tc>
              <w:tc>
                <w:tcPr>
                  <w:tcW w:w="1418"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48</w:t>
                  </w:r>
                </w:p>
              </w:tc>
              <w:tc>
                <w:tcPr>
                  <w:tcW w:w="1417"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kern w:val="0"/>
                      <w:szCs w:val="21"/>
                    </w:rPr>
                  </w:pPr>
                  <w:r>
                    <w:rPr>
                      <w:rFonts w:cs="Times New Roman"/>
                      <w:color w:val="auto"/>
                      <w:kern w:val="0"/>
                      <w:szCs w:val="21"/>
                    </w:rPr>
                    <w:t>58</w:t>
                  </w:r>
                </w:p>
              </w:tc>
              <w:tc>
                <w:tcPr>
                  <w:tcW w:w="1515" w:type="dxa"/>
                  <w:tcBorders>
                    <w:top w:val="single" w:color="auto" w:sz="6" w:space="0"/>
                    <w:left w:val="single" w:color="auto" w:sz="6" w:space="0"/>
                    <w:bottom w:val="single" w:color="auto" w:sz="6" w:space="0"/>
                    <w:right w:val="single" w:color="auto" w:sz="4" w:space="0"/>
                  </w:tcBorders>
                  <w:vAlign w:val="center"/>
                </w:tcPr>
                <w:p>
                  <w:pPr>
                    <w:pStyle w:val="199"/>
                    <w:rPr>
                      <w:rFonts w:cs="Times New Roman"/>
                      <w:color w:val="auto"/>
                      <w:kern w:val="0"/>
                      <w:szCs w:val="21"/>
                    </w:rPr>
                  </w:pPr>
                  <w:r>
                    <w:rPr>
                      <w:rFonts w:cs="Times New Roman"/>
                      <w:color w:val="auto"/>
                      <w:kern w:val="0"/>
                      <w:szCs w:val="21"/>
                    </w:rPr>
                    <w:t>48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36" w:hRule="exact"/>
                <w:jc w:val="center"/>
              </w:trPr>
              <w:tc>
                <w:tcPr>
                  <w:tcW w:w="3535" w:type="dxa"/>
                  <w:tcBorders>
                    <w:top w:val="single" w:color="auto" w:sz="6" w:space="0"/>
                    <w:left w:val="single" w:color="auto" w:sz="4"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3 #项目边界</w:t>
                  </w:r>
                  <w:r>
                    <w:rPr>
                      <w:rFonts w:hint="eastAsia" w:cs="Times New Roman"/>
                      <w:color w:val="auto"/>
                      <w:szCs w:val="21"/>
                    </w:rPr>
                    <w:t>西</w:t>
                  </w:r>
                  <w:r>
                    <w:rPr>
                      <w:rFonts w:cs="Times New Roman"/>
                      <w:color w:val="auto"/>
                      <w:szCs w:val="21"/>
                    </w:rPr>
                    <w:t>侧边界外1m</w:t>
                  </w:r>
                </w:p>
              </w:tc>
              <w:tc>
                <w:tcPr>
                  <w:tcW w:w="1275"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58</w:t>
                  </w:r>
                </w:p>
              </w:tc>
              <w:tc>
                <w:tcPr>
                  <w:tcW w:w="1418"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48</w:t>
                  </w:r>
                </w:p>
              </w:tc>
              <w:tc>
                <w:tcPr>
                  <w:tcW w:w="1417"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kern w:val="0"/>
                      <w:szCs w:val="21"/>
                    </w:rPr>
                  </w:pPr>
                  <w:r>
                    <w:rPr>
                      <w:rFonts w:cs="Times New Roman"/>
                      <w:color w:val="auto"/>
                      <w:kern w:val="0"/>
                      <w:szCs w:val="21"/>
                    </w:rPr>
                    <w:t>58</w:t>
                  </w:r>
                </w:p>
              </w:tc>
              <w:tc>
                <w:tcPr>
                  <w:tcW w:w="1515" w:type="dxa"/>
                  <w:tcBorders>
                    <w:top w:val="single" w:color="auto" w:sz="6" w:space="0"/>
                    <w:left w:val="single" w:color="auto" w:sz="6" w:space="0"/>
                    <w:bottom w:val="single" w:color="auto" w:sz="6" w:space="0"/>
                    <w:right w:val="single" w:color="auto" w:sz="4" w:space="0"/>
                  </w:tcBorders>
                  <w:vAlign w:val="center"/>
                </w:tcPr>
                <w:p>
                  <w:pPr>
                    <w:pStyle w:val="199"/>
                    <w:rPr>
                      <w:rFonts w:cs="Times New Roman"/>
                      <w:color w:val="auto"/>
                      <w:kern w:val="0"/>
                      <w:szCs w:val="21"/>
                    </w:rPr>
                  </w:pPr>
                  <w:r>
                    <w:rPr>
                      <w:rFonts w:cs="Times New Roman"/>
                      <w:color w:val="auto"/>
                      <w:kern w:val="0"/>
                      <w:szCs w:val="21"/>
                    </w:rPr>
                    <w:t>48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29" w:hRule="exact"/>
                <w:jc w:val="center"/>
              </w:trPr>
              <w:tc>
                <w:tcPr>
                  <w:tcW w:w="3535" w:type="dxa"/>
                  <w:tcBorders>
                    <w:top w:val="single" w:color="auto" w:sz="6" w:space="0"/>
                    <w:left w:val="single" w:color="auto" w:sz="4" w:space="0"/>
                    <w:bottom w:val="single" w:color="auto" w:sz="6" w:space="0"/>
                    <w:right w:val="single" w:color="auto" w:sz="6" w:space="0"/>
                  </w:tcBorders>
                  <w:vAlign w:val="center"/>
                </w:tcPr>
                <w:p>
                  <w:pPr>
                    <w:pStyle w:val="199"/>
                    <w:rPr>
                      <w:rFonts w:cs="Times New Roman"/>
                      <w:color w:val="auto"/>
                      <w:szCs w:val="21"/>
                    </w:rPr>
                  </w:pPr>
                  <w:r>
                    <w:rPr>
                      <w:rFonts w:cs="Times New Roman"/>
                      <w:color w:val="auto"/>
                      <w:szCs w:val="21"/>
                    </w:rPr>
                    <w:t>4 #项目边界</w:t>
                  </w:r>
                  <w:r>
                    <w:rPr>
                      <w:rFonts w:hint="eastAsia" w:cs="Times New Roman"/>
                      <w:color w:val="auto"/>
                      <w:szCs w:val="21"/>
                    </w:rPr>
                    <w:t>北</w:t>
                  </w:r>
                  <w:r>
                    <w:rPr>
                      <w:rFonts w:cs="Times New Roman"/>
                      <w:color w:val="auto"/>
                      <w:szCs w:val="21"/>
                    </w:rPr>
                    <w:t>侧边界外1m</w:t>
                  </w:r>
                </w:p>
              </w:tc>
              <w:tc>
                <w:tcPr>
                  <w:tcW w:w="1275"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58</w:t>
                  </w:r>
                </w:p>
              </w:tc>
              <w:tc>
                <w:tcPr>
                  <w:tcW w:w="1418" w:type="dxa"/>
                  <w:tcBorders>
                    <w:top w:val="single" w:color="auto" w:sz="6" w:space="0"/>
                    <w:left w:val="single" w:color="auto" w:sz="6" w:space="0"/>
                    <w:bottom w:val="single" w:color="auto" w:sz="6" w:space="0"/>
                    <w:right w:val="single" w:color="auto" w:sz="6" w:space="0"/>
                  </w:tcBorders>
                  <w:vAlign w:val="center"/>
                </w:tcPr>
                <w:p>
                  <w:pPr>
                    <w:jc w:val="center"/>
                    <w:rPr>
                      <w:color w:val="auto"/>
                      <w:szCs w:val="21"/>
                    </w:rPr>
                  </w:pPr>
                  <w:r>
                    <w:rPr>
                      <w:color w:val="auto"/>
                      <w:szCs w:val="21"/>
                    </w:rPr>
                    <w:t>48</w:t>
                  </w:r>
                </w:p>
              </w:tc>
              <w:tc>
                <w:tcPr>
                  <w:tcW w:w="1417" w:type="dxa"/>
                  <w:tcBorders>
                    <w:top w:val="single" w:color="auto" w:sz="6" w:space="0"/>
                    <w:left w:val="single" w:color="auto" w:sz="6" w:space="0"/>
                    <w:bottom w:val="single" w:color="auto" w:sz="6" w:space="0"/>
                    <w:right w:val="single" w:color="auto" w:sz="6" w:space="0"/>
                  </w:tcBorders>
                  <w:vAlign w:val="center"/>
                </w:tcPr>
                <w:p>
                  <w:pPr>
                    <w:pStyle w:val="199"/>
                    <w:rPr>
                      <w:rFonts w:cs="Times New Roman"/>
                      <w:color w:val="auto"/>
                      <w:kern w:val="0"/>
                      <w:szCs w:val="21"/>
                    </w:rPr>
                  </w:pPr>
                  <w:r>
                    <w:rPr>
                      <w:rFonts w:cs="Times New Roman"/>
                      <w:color w:val="auto"/>
                      <w:kern w:val="0"/>
                      <w:szCs w:val="21"/>
                    </w:rPr>
                    <w:t>59</w:t>
                  </w:r>
                </w:p>
              </w:tc>
              <w:tc>
                <w:tcPr>
                  <w:tcW w:w="1515" w:type="dxa"/>
                  <w:tcBorders>
                    <w:top w:val="single" w:color="auto" w:sz="6" w:space="0"/>
                    <w:left w:val="single" w:color="auto" w:sz="6" w:space="0"/>
                    <w:bottom w:val="single" w:color="auto" w:sz="6" w:space="0"/>
                    <w:right w:val="single" w:color="auto" w:sz="4" w:space="0"/>
                  </w:tcBorders>
                  <w:vAlign w:val="center"/>
                </w:tcPr>
                <w:p>
                  <w:pPr>
                    <w:pStyle w:val="199"/>
                    <w:rPr>
                      <w:rFonts w:cs="Times New Roman"/>
                      <w:color w:val="auto"/>
                      <w:kern w:val="0"/>
                      <w:szCs w:val="21"/>
                    </w:rPr>
                  </w:pPr>
                  <w:r>
                    <w:rPr>
                      <w:rFonts w:cs="Times New Roman"/>
                      <w:color w:val="auto"/>
                      <w:kern w:val="0"/>
                      <w:szCs w:val="21"/>
                    </w:rPr>
                    <w:t>48</w:t>
                  </w:r>
                </w:p>
              </w:tc>
            </w:tr>
          </w:tbl>
          <w:p>
            <w:pPr>
              <w:snapToGrid w:val="0"/>
              <w:spacing w:line="360" w:lineRule="auto"/>
              <w:ind w:firstLine="420" w:firstLineChars="200"/>
              <w:jc w:val="center"/>
              <w:rPr>
                <w:color w:val="auto"/>
              </w:rPr>
            </w:pPr>
          </w:p>
          <w:p>
            <w:pPr>
              <w:pStyle w:val="2"/>
              <w:ind w:firstLine="0" w:firstLineChars="0"/>
              <w:rPr>
                <w:color w:val="auto"/>
              </w:rPr>
            </w:pPr>
          </w:p>
          <w:p>
            <w:pPr>
              <w:pStyle w:val="2"/>
              <w:ind w:firstLine="422"/>
              <w:jc w:val="center"/>
              <w:rPr>
                <w:color w:val="auto"/>
              </w:rPr>
            </w:pPr>
            <w:r>
              <w:rPr>
                <w:b/>
                <w:color w:val="auto"/>
                <w:szCs w:val="24"/>
              </w:rPr>
              <w:pict>
                <v:rect id="_x0000_s1043" o:spid="_x0000_s1043" o:spt="1" style="position:absolute;left:0pt;margin-left:395.05pt;margin-top:222.25pt;height:37.5pt;width:93.75pt;z-index:251681792;mso-width-relative:page;mso-height-relative:page;" stroked="f" coordsize="21600,21600">
                  <v:path/>
                  <v:fill focussize="0,0"/>
                  <v:stroke on="f"/>
                  <v:imagedata o:title=""/>
                  <o:lock v:ext="edit"/>
                </v:rect>
              </w:pict>
            </w:r>
            <w:r>
              <w:rPr>
                <w:color w:val="auto"/>
              </w:rPr>
              <w:pict>
                <v:rect id="_x0000_s1042" o:spid="_x0000_s1042" o:spt="1" style="position:absolute;left:0pt;margin-left:62.05pt;margin-top:0.25pt;height:37.5pt;width:93.75pt;z-index:251680768;mso-width-relative:page;mso-height-relative:page;" stroked="f" coordsize="21600,21600">
                  <v:path/>
                  <v:fill focussize="0,0"/>
                  <v:stroke on="f"/>
                  <v:imagedata o:title=""/>
                  <o:lock v:ext="edit"/>
                </v:rect>
              </w:pict>
            </w:r>
            <w:r>
              <w:rPr>
                <w:color w:val="auto"/>
              </w:rPr>
              <w:drawing>
                <wp:inline distT="0" distB="0" distL="0" distR="0">
                  <wp:extent cx="4666615" cy="307594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4666667" cy="3076190"/>
                          </a:xfrm>
                          <a:prstGeom prst="rect">
                            <a:avLst/>
                          </a:prstGeom>
                        </pic:spPr>
                      </pic:pic>
                    </a:graphicData>
                  </a:graphic>
                </wp:inline>
              </w:drawing>
            </w:r>
          </w:p>
          <w:p>
            <w:pPr>
              <w:snapToGrid w:val="0"/>
              <w:spacing w:line="360" w:lineRule="auto"/>
              <w:ind w:firstLine="482" w:firstLineChars="200"/>
              <w:jc w:val="center"/>
              <w:rPr>
                <w:b/>
                <w:color w:val="auto"/>
                <w:sz w:val="24"/>
              </w:rPr>
            </w:pPr>
          </w:p>
          <w:p>
            <w:pPr>
              <w:snapToGrid w:val="0"/>
              <w:spacing w:line="360" w:lineRule="auto"/>
              <w:ind w:firstLine="482" w:firstLineChars="200"/>
              <w:jc w:val="center"/>
              <w:rPr>
                <w:b/>
                <w:color w:val="auto"/>
                <w:sz w:val="24"/>
              </w:rPr>
            </w:pPr>
            <w:r>
              <w:rPr>
                <w:b/>
                <w:color w:val="auto"/>
                <w:sz w:val="24"/>
              </w:rPr>
              <w:t>图1　项目监测点位图</w:t>
            </w:r>
          </w:p>
          <w:p>
            <w:pPr>
              <w:snapToGrid w:val="0"/>
              <w:spacing w:line="360" w:lineRule="auto"/>
              <w:ind w:firstLine="480" w:firstLineChars="200"/>
              <w:rPr>
                <w:color w:val="auto"/>
                <w:sz w:val="24"/>
              </w:rPr>
            </w:pPr>
            <w:r>
              <w:rPr>
                <w:color w:val="auto"/>
                <w:sz w:val="24"/>
              </w:rPr>
              <w:t>由监测结果可知，项目所在地</w:t>
            </w:r>
            <w:r>
              <w:rPr>
                <w:rFonts w:hint="eastAsia"/>
                <w:color w:val="auto"/>
                <w:sz w:val="24"/>
              </w:rPr>
              <w:t>侧</w:t>
            </w:r>
            <w:r>
              <w:rPr>
                <w:color w:val="auto"/>
                <w:sz w:val="24"/>
              </w:rPr>
              <w:t>边界能够满足《声环境质量标准》（GB3096-2008）的2类标准要求，项目所在地能够满足声环境功能区要求。</w:t>
            </w:r>
          </w:p>
          <w:p>
            <w:pPr>
              <w:snapToGrid w:val="0"/>
              <w:spacing w:line="360" w:lineRule="auto"/>
              <w:ind w:firstLine="472" w:firstLineChars="196"/>
              <w:rPr>
                <w:color w:val="auto"/>
                <w:sz w:val="24"/>
              </w:rPr>
            </w:pPr>
            <w:r>
              <w:rPr>
                <w:rFonts w:hint="eastAsia"/>
                <w:b/>
                <w:color w:val="auto"/>
                <w:sz w:val="24"/>
              </w:rPr>
              <w:t>四</w:t>
            </w:r>
            <w:r>
              <w:rPr>
                <w:b/>
                <w:color w:val="auto"/>
                <w:sz w:val="24"/>
              </w:rPr>
              <w:t>、生态环境质量</w:t>
            </w:r>
          </w:p>
          <w:p>
            <w:pPr>
              <w:spacing w:line="360" w:lineRule="auto"/>
              <w:ind w:firstLine="480" w:firstLineChars="200"/>
              <w:rPr>
                <w:snapToGrid w:val="0"/>
                <w:color w:val="auto"/>
                <w:kern w:val="0"/>
                <w:sz w:val="24"/>
              </w:rPr>
            </w:pPr>
            <w:r>
              <w:rPr>
                <w:snapToGrid w:val="0"/>
                <w:color w:val="auto"/>
                <w:kern w:val="0"/>
                <w:sz w:val="24"/>
              </w:rPr>
              <w:t>根据现场踏勘和调查，项目所在区域未发现野生珍稀动植物和国家重点保护的动植物。该区域</w:t>
            </w:r>
            <w:r>
              <w:rPr>
                <w:color w:val="auto"/>
                <w:sz w:val="24"/>
              </w:rPr>
              <w:t>项目所在地区域处于人类开发活动范围内，并无原始植被生长和珍贵野生动物活动，</w:t>
            </w:r>
            <w:r>
              <w:rPr>
                <w:snapToGrid w:val="0"/>
                <w:color w:val="auto"/>
                <w:kern w:val="0"/>
                <w:sz w:val="24"/>
              </w:rPr>
              <w:t>不属于生态环境保护区，没有特别受保护的生境和生物区系及水产资源，生态环境质量一般。</w:t>
            </w:r>
          </w:p>
          <w:p>
            <w:pPr>
              <w:adjustRightInd w:val="0"/>
              <w:snapToGrid w:val="0"/>
              <w:spacing w:line="360" w:lineRule="auto"/>
              <w:ind w:firstLine="480" w:firstLineChars="200"/>
              <w:rPr>
                <w:color w:val="auto"/>
                <w:sz w:val="24"/>
              </w:rPr>
            </w:pPr>
            <w:r>
              <w:rPr>
                <w:color w:val="auto"/>
                <w:sz w:val="24"/>
              </w:rPr>
              <w:t>区域生态系统敏感程度较低，项目的实施不会对生物栖息环境造成较大影响。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2" w:hRule="atLeast"/>
          <w:jc w:val="center"/>
        </w:trPr>
        <w:tc>
          <w:tcPr>
            <w:tcW w:w="10644" w:type="dxa"/>
          </w:tcPr>
          <w:p>
            <w:pPr>
              <w:pStyle w:val="75"/>
              <w:snapToGrid w:val="0"/>
              <w:rPr>
                <w:color w:val="auto"/>
              </w:rPr>
            </w:pPr>
            <w:r>
              <w:rPr>
                <w:color w:val="auto"/>
              </w:rPr>
              <w:t>（二）环境敏感点及环境保护目标</w:t>
            </w:r>
          </w:p>
          <w:p>
            <w:pPr>
              <w:pStyle w:val="75"/>
              <w:snapToGrid w:val="0"/>
              <w:ind w:firstLine="472" w:firstLineChars="196"/>
              <w:rPr>
                <w:snapToGrid w:val="0"/>
                <w:color w:val="auto"/>
                <w:kern w:val="0"/>
                <w:sz w:val="24"/>
                <w:szCs w:val="20"/>
              </w:rPr>
            </w:pPr>
            <w:r>
              <w:rPr>
                <w:snapToGrid w:val="0"/>
                <w:color w:val="auto"/>
                <w:kern w:val="0"/>
                <w:sz w:val="24"/>
                <w:szCs w:val="20"/>
              </w:rPr>
              <w:t>一、环境空气保护目标</w:t>
            </w:r>
          </w:p>
          <w:p>
            <w:pPr>
              <w:pStyle w:val="75"/>
              <w:snapToGrid w:val="0"/>
              <w:ind w:left="57" w:leftChars="27" w:firstLine="417" w:firstLineChars="174"/>
              <w:rPr>
                <w:b w:val="0"/>
                <w:color w:val="auto"/>
              </w:rPr>
            </w:pPr>
            <w:r>
              <w:rPr>
                <w:b w:val="0"/>
                <w:color w:val="auto"/>
                <w:sz w:val="24"/>
              </w:rPr>
              <w:t>保护评价区内的环境空气质量达到《环境空气质量标准》(GB3095-2012）</w:t>
            </w:r>
            <w:r>
              <w:rPr>
                <w:b w:val="0"/>
                <w:bCs/>
                <w:color w:val="auto"/>
                <w:sz w:val="24"/>
                <w:szCs w:val="24"/>
              </w:rPr>
              <w:t>2018年修改单</w:t>
            </w:r>
            <w:r>
              <w:rPr>
                <w:b w:val="0"/>
                <w:color w:val="auto"/>
                <w:sz w:val="24"/>
              </w:rPr>
              <w:t>二级标准。</w:t>
            </w:r>
          </w:p>
          <w:p>
            <w:pPr>
              <w:snapToGrid w:val="0"/>
              <w:spacing w:line="360" w:lineRule="auto"/>
              <w:ind w:firstLine="471"/>
              <w:rPr>
                <w:b/>
                <w:snapToGrid w:val="0"/>
                <w:color w:val="auto"/>
                <w:kern w:val="0"/>
                <w:sz w:val="24"/>
                <w:szCs w:val="20"/>
              </w:rPr>
            </w:pPr>
            <w:r>
              <w:rPr>
                <w:b/>
                <w:snapToGrid w:val="0"/>
                <w:color w:val="auto"/>
                <w:kern w:val="0"/>
                <w:sz w:val="24"/>
                <w:szCs w:val="20"/>
              </w:rPr>
              <w:t>二、水环境保护目标</w:t>
            </w:r>
          </w:p>
          <w:p>
            <w:pPr>
              <w:snapToGrid w:val="0"/>
              <w:spacing w:line="360" w:lineRule="auto"/>
              <w:ind w:firstLine="480" w:firstLineChars="200"/>
              <w:rPr>
                <w:color w:val="auto"/>
                <w:sz w:val="24"/>
              </w:rPr>
            </w:pPr>
            <w:r>
              <w:rPr>
                <w:snapToGrid w:val="0"/>
                <w:color w:val="auto"/>
                <w:kern w:val="0"/>
                <w:sz w:val="24"/>
              </w:rPr>
              <w:t>水环境保护目标是保护</w:t>
            </w:r>
            <w:r>
              <w:rPr>
                <w:rFonts w:hint="eastAsia"/>
                <w:snapToGrid w:val="0"/>
                <w:color w:val="auto"/>
                <w:kern w:val="0"/>
                <w:sz w:val="24"/>
              </w:rPr>
              <w:t>流经大长陇村的无</w:t>
            </w:r>
            <w:r>
              <w:rPr>
                <w:snapToGrid w:val="0"/>
                <w:color w:val="auto"/>
                <w:kern w:val="0"/>
                <w:sz w:val="24"/>
              </w:rPr>
              <w:t>名沟渠</w:t>
            </w:r>
            <w:r>
              <w:rPr>
                <w:rFonts w:hint="eastAsia"/>
                <w:snapToGrid w:val="0"/>
                <w:color w:val="auto"/>
                <w:kern w:val="0"/>
                <w:sz w:val="24"/>
              </w:rPr>
              <w:t>水</w:t>
            </w:r>
            <w:r>
              <w:rPr>
                <w:snapToGrid w:val="0"/>
                <w:color w:val="auto"/>
                <w:kern w:val="0"/>
                <w:sz w:val="24"/>
              </w:rPr>
              <w:t>质不受到明显影响，确保水环境质量符合《地表水环境质量标准》（GB3838-2002）V类水质标准。</w:t>
            </w:r>
          </w:p>
          <w:p>
            <w:pPr>
              <w:adjustRightInd w:val="0"/>
              <w:snapToGrid w:val="0"/>
              <w:spacing w:line="360" w:lineRule="auto"/>
              <w:ind w:firstLine="471"/>
              <w:rPr>
                <w:b/>
                <w:snapToGrid w:val="0"/>
                <w:color w:val="auto"/>
                <w:kern w:val="0"/>
                <w:sz w:val="24"/>
                <w:szCs w:val="20"/>
              </w:rPr>
            </w:pPr>
            <w:r>
              <w:rPr>
                <w:b/>
                <w:snapToGrid w:val="0"/>
                <w:color w:val="auto"/>
                <w:kern w:val="0"/>
                <w:sz w:val="24"/>
                <w:szCs w:val="20"/>
              </w:rPr>
              <w:t>三、声环境保护目标</w:t>
            </w:r>
          </w:p>
          <w:p>
            <w:pPr>
              <w:adjustRightInd w:val="0"/>
              <w:snapToGrid w:val="0"/>
              <w:spacing w:line="360" w:lineRule="auto"/>
              <w:ind w:left="57" w:leftChars="27" w:firstLine="471"/>
              <w:rPr>
                <w:color w:val="auto"/>
                <w:sz w:val="24"/>
              </w:rPr>
            </w:pPr>
            <w:r>
              <w:rPr>
                <w:color w:val="auto"/>
                <w:sz w:val="24"/>
              </w:rPr>
              <w:t>声环境保护目标主要是确保本项目和其周围区域有一个良好的声环境，须保护该区域声环境质量符合《声环境质量标准》（GB3096-2008）</w:t>
            </w:r>
            <w:r>
              <w:rPr>
                <w:color w:val="auto"/>
                <w:kern w:val="0"/>
                <w:sz w:val="24"/>
              </w:rPr>
              <w:t>2类标准</w:t>
            </w:r>
            <w:r>
              <w:rPr>
                <w:color w:val="auto"/>
                <w:sz w:val="24"/>
              </w:rPr>
              <w:t>。</w:t>
            </w:r>
          </w:p>
          <w:p>
            <w:pPr>
              <w:adjustRightInd w:val="0"/>
              <w:snapToGrid w:val="0"/>
              <w:spacing w:line="360" w:lineRule="auto"/>
              <w:ind w:firstLine="471"/>
              <w:rPr>
                <w:b/>
                <w:snapToGrid w:val="0"/>
                <w:color w:val="auto"/>
                <w:kern w:val="0"/>
                <w:sz w:val="24"/>
                <w:szCs w:val="20"/>
              </w:rPr>
            </w:pPr>
            <w:r>
              <w:rPr>
                <w:b/>
                <w:snapToGrid w:val="0"/>
                <w:color w:val="auto"/>
                <w:kern w:val="0"/>
                <w:sz w:val="24"/>
                <w:szCs w:val="20"/>
              </w:rPr>
              <w:t>四、环境保护敏感点</w:t>
            </w:r>
          </w:p>
          <w:p>
            <w:pPr>
              <w:adjustRightInd w:val="0"/>
              <w:snapToGrid w:val="0"/>
              <w:spacing w:line="360" w:lineRule="auto"/>
              <w:ind w:firstLine="471"/>
              <w:rPr>
                <w:color w:val="auto"/>
                <w:sz w:val="24"/>
              </w:rPr>
            </w:pPr>
            <w:r>
              <w:rPr>
                <w:color w:val="auto"/>
                <w:sz w:val="24"/>
              </w:rPr>
              <w:t>项目环境敏感点主要为附近居民区居民以及水体，详见表3-5及附图6环境保护目标图。</w:t>
            </w:r>
          </w:p>
          <w:p>
            <w:pPr>
              <w:adjustRightInd w:val="0"/>
              <w:snapToGrid w:val="0"/>
              <w:ind w:firstLine="482" w:firstLineChars="200"/>
              <w:jc w:val="center"/>
              <w:rPr>
                <w:color w:val="auto"/>
                <w:sz w:val="24"/>
              </w:rPr>
            </w:pPr>
            <w:r>
              <w:rPr>
                <w:b/>
                <w:color w:val="auto"/>
                <w:sz w:val="24"/>
              </w:rPr>
              <w:t>表3-5项目周围环境保护目标</w:t>
            </w:r>
          </w:p>
          <w:tbl>
            <w:tblPr>
              <w:tblStyle w:val="29"/>
              <w:tblpPr w:leftFromText="180" w:rightFromText="180" w:vertAnchor="text" w:horzAnchor="page" w:tblpXSpec="center" w:tblpY="151"/>
              <w:tblOverlap w:val="never"/>
              <w:tblW w:w="8485"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1266"/>
              <w:gridCol w:w="861"/>
              <w:gridCol w:w="1134"/>
              <w:gridCol w:w="1984"/>
              <w:gridCol w:w="324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aps/>
                      <w:color w:val="auto"/>
                      <w:szCs w:val="21"/>
                    </w:rPr>
                  </w:pPr>
                  <w:r>
                    <w:rPr>
                      <w:caps/>
                      <w:color w:val="auto"/>
                      <w:szCs w:val="21"/>
                    </w:rPr>
                    <w:t>敏感项目</w:t>
                  </w:r>
                </w:p>
              </w:tc>
              <w:tc>
                <w:tcPr>
                  <w:tcW w:w="1134" w:type="dxa"/>
                  <w:shd w:val="clear" w:color="auto" w:fill="FFFFFF"/>
                  <w:vAlign w:val="center"/>
                </w:tcPr>
                <w:p>
                  <w:pPr>
                    <w:adjustRightInd w:val="0"/>
                    <w:snapToGrid w:val="0"/>
                    <w:jc w:val="center"/>
                    <w:rPr>
                      <w:caps/>
                      <w:color w:val="auto"/>
                      <w:szCs w:val="21"/>
                    </w:rPr>
                  </w:pPr>
                  <w:r>
                    <w:rPr>
                      <w:caps/>
                      <w:color w:val="auto"/>
                      <w:szCs w:val="21"/>
                    </w:rPr>
                    <w:t>相对</w:t>
                  </w:r>
                </w:p>
                <w:p>
                  <w:pPr>
                    <w:adjustRightInd w:val="0"/>
                    <w:snapToGrid w:val="0"/>
                    <w:jc w:val="center"/>
                    <w:rPr>
                      <w:caps/>
                      <w:color w:val="auto"/>
                      <w:szCs w:val="21"/>
                    </w:rPr>
                  </w:pPr>
                  <w:r>
                    <w:rPr>
                      <w:caps/>
                      <w:color w:val="auto"/>
                      <w:szCs w:val="21"/>
                    </w:rPr>
                    <w:t>方位</w:t>
                  </w:r>
                </w:p>
              </w:tc>
              <w:tc>
                <w:tcPr>
                  <w:tcW w:w="1984" w:type="dxa"/>
                  <w:shd w:val="clear" w:color="auto" w:fill="FFFFFF"/>
                  <w:vAlign w:val="center"/>
                </w:tcPr>
                <w:p>
                  <w:pPr>
                    <w:adjustRightInd w:val="0"/>
                    <w:snapToGrid w:val="0"/>
                    <w:jc w:val="center"/>
                    <w:rPr>
                      <w:caps/>
                      <w:color w:val="auto"/>
                      <w:szCs w:val="21"/>
                    </w:rPr>
                  </w:pPr>
                  <w:r>
                    <w:rPr>
                      <w:caps/>
                      <w:color w:val="auto"/>
                      <w:szCs w:val="21"/>
                    </w:rPr>
                    <w:t>敏感目标与项目厂区边界距离</w:t>
                  </w:r>
                </w:p>
              </w:tc>
              <w:tc>
                <w:tcPr>
                  <w:tcW w:w="3240" w:type="dxa"/>
                  <w:shd w:val="clear" w:color="auto" w:fill="FFFFFF"/>
                  <w:vAlign w:val="center"/>
                </w:tcPr>
                <w:p>
                  <w:pPr>
                    <w:adjustRightInd w:val="0"/>
                    <w:snapToGrid w:val="0"/>
                    <w:jc w:val="center"/>
                    <w:rPr>
                      <w:caps/>
                      <w:color w:val="auto"/>
                      <w:szCs w:val="21"/>
                    </w:rPr>
                  </w:pPr>
                  <w:r>
                    <w:rPr>
                      <w:caps/>
                      <w:color w:val="auto"/>
                      <w:szCs w:val="21"/>
                    </w:rPr>
                    <w:t>环境保护目标控制标准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aps/>
                      <w:color w:val="auto"/>
                      <w:szCs w:val="21"/>
                    </w:rPr>
                  </w:pPr>
                  <w:r>
                    <w:rPr>
                      <w:rFonts w:hint="eastAsia"/>
                      <w:caps/>
                      <w:color w:val="auto"/>
                      <w:szCs w:val="21"/>
                    </w:rPr>
                    <w:t>大长陇村居</w:t>
                  </w:r>
                </w:p>
              </w:tc>
              <w:tc>
                <w:tcPr>
                  <w:tcW w:w="1134" w:type="dxa"/>
                  <w:shd w:val="clear" w:color="auto" w:fill="FFFFFF"/>
                  <w:vAlign w:val="center"/>
                </w:tcPr>
                <w:p>
                  <w:pPr>
                    <w:adjustRightInd w:val="0"/>
                    <w:snapToGrid w:val="0"/>
                    <w:jc w:val="center"/>
                    <w:rPr>
                      <w:caps/>
                      <w:color w:val="auto"/>
                      <w:szCs w:val="21"/>
                    </w:rPr>
                  </w:pPr>
                  <w:r>
                    <w:rPr>
                      <w:rFonts w:hint="eastAsia"/>
                      <w:caps/>
                      <w:color w:val="auto"/>
                      <w:szCs w:val="21"/>
                    </w:rPr>
                    <w:t>西</w:t>
                  </w:r>
                </w:p>
              </w:tc>
              <w:tc>
                <w:tcPr>
                  <w:tcW w:w="1984" w:type="dxa"/>
                  <w:shd w:val="clear" w:color="auto" w:fill="FFFFFF"/>
                  <w:vAlign w:val="center"/>
                </w:tcPr>
                <w:p>
                  <w:pPr>
                    <w:adjustRightInd w:val="0"/>
                    <w:snapToGrid w:val="0"/>
                    <w:jc w:val="center"/>
                    <w:rPr>
                      <w:caps/>
                      <w:color w:val="auto"/>
                      <w:szCs w:val="21"/>
                    </w:rPr>
                  </w:pPr>
                  <w:r>
                    <w:rPr>
                      <w:rFonts w:hint="eastAsia"/>
                      <w:caps/>
                      <w:color w:val="auto"/>
                      <w:szCs w:val="21"/>
                    </w:rPr>
                    <w:t>190米</w:t>
                  </w:r>
                </w:p>
              </w:tc>
              <w:tc>
                <w:tcPr>
                  <w:tcW w:w="3240" w:type="dxa"/>
                  <w:vMerge w:val="restart"/>
                  <w:shd w:val="clear" w:color="auto" w:fill="FFFFFF"/>
                  <w:vAlign w:val="center"/>
                </w:tcPr>
                <w:p>
                  <w:pPr>
                    <w:adjustRightInd w:val="0"/>
                    <w:snapToGrid w:val="0"/>
                    <w:jc w:val="center"/>
                    <w:rPr>
                      <w:color w:val="auto"/>
                      <w:szCs w:val="21"/>
                    </w:rPr>
                  </w:pPr>
                  <w:r>
                    <w:rPr>
                      <w:color w:val="auto"/>
                      <w:szCs w:val="21"/>
                    </w:rPr>
                    <w:t>《环境空气质量标准》(GB3095-2012)</w:t>
                  </w:r>
                </w:p>
                <w:p>
                  <w:pPr>
                    <w:adjustRightInd w:val="0"/>
                    <w:snapToGrid w:val="0"/>
                    <w:jc w:val="center"/>
                    <w:rPr>
                      <w:color w:val="auto"/>
                      <w:szCs w:val="21"/>
                    </w:rPr>
                  </w:pPr>
                  <w:r>
                    <w:rPr>
                      <w:color w:val="auto"/>
                      <w:sz w:val="22"/>
                      <w:szCs w:val="22"/>
                    </w:rPr>
                    <w:t>2018年修改单</w:t>
                  </w:r>
                  <w:r>
                    <w:rPr>
                      <w:color w:val="auto"/>
                      <w:szCs w:val="21"/>
                    </w:rPr>
                    <w:t>二级标准、</w:t>
                  </w:r>
                </w:p>
                <w:p>
                  <w:pPr>
                    <w:adjustRightInd w:val="0"/>
                    <w:snapToGrid w:val="0"/>
                    <w:jc w:val="center"/>
                    <w:rPr>
                      <w:caps/>
                      <w:color w:val="auto"/>
                      <w:szCs w:val="21"/>
                    </w:rPr>
                  </w:pPr>
                  <w:r>
                    <w:rPr>
                      <w:color w:val="auto"/>
                      <w:szCs w:val="21"/>
                    </w:rPr>
                    <w:t>《声环境质量标准》（GB3096-2008）2类标准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黄厝</w:t>
                  </w:r>
                  <w:r>
                    <w:rPr>
                      <w:color w:val="auto"/>
                      <w:szCs w:val="21"/>
                    </w:rPr>
                    <w:t>围　</w:t>
                  </w:r>
                </w:p>
              </w:tc>
              <w:tc>
                <w:tcPr>
                  <w:tcW w:w="1134" w:type="dxa"/>
                  <w:shd w:val="clear" w:color="auto" w:fill="FFFFFF"/>
                  <w:vAlign w:val="center"/>
                </w:tcPr>
                <w:p>
                  <w:pPr>
                    <w:adjustRightInd w:val="0"/>
                    <w:snapToGrid w:val="0"/>
                    <w:jc w:val="center"/>
                    <w:rPr>
                      <w:color w:val="auto"/>
                      <w:szCs w:val="21"/>
                    </w:rPr>
                  </w:pPr>
                  <w:r>
                    <w:rPr>
                      <w:color w:val="auto"/>
                      <w:szCs w:val="21"/>
                    </w:rPr>
                    <w:t>北面</w:t>
                  </w:r>
                </w:p>
              </w:tc>
              <w:tc>
                <w:tcPr>
                  <w:tcW w:w="1984" w:type="dxa"/>
                  <w:shd w:val="clear" w:color="auto" w:fill="FFFFFF"/>
                  <w:vAlign w:val="center"/>
                </w:tcPr>
                <w:p>
                  <w:pPr>
                    <w:adjustRightInd w:val="0"/>
                    <w:snapToGrid w:val="0"/>
                    <w:jc w:val="center"/>
                    <w:rPr>
                      <w:color w:val="auto"/>
                      <w:szCs w:val="21"/>
                    </w:rPr>
                  </w:pPr>
                  <w:r>
                    <w:rPr>
                      <w:color w:val="auto"/>
                      <w:szCs w:val="21"/>
                    </w:rPr>
                    <w:t>230米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三耘</w:t>
                  </w:r>
                  <w:r>
                    <w:rPr>
                      <w:color w:val="auto"/>
                      <w:szCs w:val="21"/>
                    </w:rPr>
                    <w:t>村</w:t>
                  </w:r>
                </w:p>
              </w:tc>
              <w:tc>
                <w:tcPr>
                  <w:tcW w:w="1134" w:type="dxa"/>
                  <w:shd w:val="clear" w:color="auto" w:fill="FFFFFF"/>
                  <w:vAlign w:val="center"/>
                </w:tcPr>
                <w:p>
                  <w:pPr>
                    <w:adjustRightInd w:val="0"/>
                    <w:snapToGrid w:val="0"/>
                    <w:jc w:val="center"/>
                    <w:rPr>
                      <w:color w:val="auto"/>
                      <w:szCs w:val="21"/>
                    </w:rPr>
                  </w:pPr>
                  <w:r>
                    <w:rPr>
                      <w:rFonts w:hint="eastAsia"/>
                      <w:color w:val="auto"/>
                      <w:szCs w:val="21"/>
                    </w:rPr>
                    <w:t>西</w:t>
                  </w:r>
                  <w:r>
                    <w:rPr>
                      <w:color w:val="auto"/>
                      <w:szCs w:val="21"/>
                    </w:rPr>
                    <w:t>北面</w:t>
                  </w:r>
                </w:p>
              </w:tc>
              <w:tc>
                <w:tcPr>
                  <w:tcW w:w="1984" w:type="dxa"/>
                  <w:shd w:val="clear" w:color="auto" w:fill="FFFFFF"/>
                  <w:vAlign w:val="center"/>
                </w:tcPr>
                <w:p>
                  <w:pPr>
                    <w:adjustRightInd w:val="0"/>
                    <w:snapToGrid w:val="0"/>
                    <w:jc w:val="center"/>
                    <w:rPr>
                      <w:color w:val="auto"/>
                      <w:szCs w:val="21"/>
                    </w:rPr>
                  </w:pPr>
                  <w:r>
                    <w:rPr>
                      <w:color w:val="auto"/>
                      <w:szCs w:val="21"/>
                    </w:rPr>
                    <w:t>550米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树脚</w:t>
                  </w:r>
                  <w:r>
                    <w:rPr>
                      <w:color w:val="auto"/>
                      <w:szCs w:val="21"/>
                    </w:rPr>
                    <w:t>村</w:t>
                  </w:r>
                </w:p>
              </w:tc>
              <w:tc>
                <w:tcPr>
                  <w:tcW w:w="1134" w:type="dxa"/>
                  <w:shd w:val="clear" w:color="auto" w:fill="FFFFFF"/>
                  <w:vAlign w:val="center"/>
                </w:tcPr>
                <w:p>
                  <w:pPr>
                    <w:adjustRightInd w:val="0"/>
                    <w:snapToGrid w:val="0"/>
                    <w:jc w:val="center"/>
                    <w:rPr>
                      <w:color w:val="auto"/>
                      <w:szCs w:val="21"/>
                    </w:rPr>
                  </w:pPr>
                  <w:r>
                    <w:rPr>
                      <w:rFonts w:hint="eastAsia"/>
                      <w:color w:val="auto"/>
                      <w:szCs w:val="21"/>
                    </w:rPr>
                    <w:t>东</w:t>
                  </w:r>
                  <w:r>
                    <w:rPr>
                      <w:color w:val="auto"/>
                      <w:szCs w:val="21"/>
                    </w:rPr>
                    <w:t>北面</w:t>
                  </w:r>
                </w:p>
              </w:tc>
              <w:tc>
                <w:tcPr>
                  <w:tcW w:w="1984" w:type="dxa"/>
                  <w:shd w:val="clear" w:color="auto" w:fill="FFFFFF"/>
                  <w:vAlign w:val="center"/>
                </w:tcPr>
                <w:p>
                  <w:pPr>
                    <w:adjustRightInd w:val="0"/>
                    <w:snapToGrid w:val="0"/>
                    <w:jc w:val="center"/>
                    <w:rPr>
                      <w:color w:val="auto"/>
                      <w:szCs w:val="21"/>
                    </w:rPr>
                  </w:pPr>
                  <w:r>
                    <w:rPr>
                      <w:color w:val="auto"/>
                      <w:szCs w:val="21"/>
                    </w:rPr>
                    <w:t>590米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过路</w:t>
                  </w:r>
                  <w:r>
                    <w:rPr>
                      <w:color w:val="auto"/>
                      <w:szCs w:val="21"/>
                    </w:rPr>
                    <w:t>耘</w:t>
                  </w:r>
                </w:p>
              </w:tc>
              <w:tc>
                <w:tcPr>
                  <w:tcW w:w="1134" w:type="dxa"/>
                  <w:shd w:val="clear" w:color="auto" w:fill="FFFFFF"/>
                  <w:vAlign w:val="center"/>
                </w:tcPr>
                <w:p>
                  <w:pPr>
                    <w:adjustRightInd w:val="0"/>
                    <w:snapToGrid w:val="0"/>
                    <w:jc w:val="center"/>
                    <w:rPr>
                      <w:color w:val="auto"/>
                      <w:szCs w:val="21"/>
                    </w:rPr>
                  </w:pPr>
                  <w:r>
                    <w:rPr>
                      <w:rFonts w:hint="eastAsia"/>
                      <w:color w:val="auto"/>
                      <w:szCs w:val="21"/>
                    </w:rPr>
                    <w:t>西</w:t>
                  </w:r>
                  <w:r>
                    <w:rPr>
                      <w:color w:val="auto"/>
                      <w:szCs w:val="21"/>
                    </w:rPr>
                    <w:t>面</w:t>
                  </w:r>
                </w:p>
              </w:tc>
              <w:tc>
                <w:tcPr>
                  <w:tcW w:w="1984" w:type="dxa"/>
                  <w:shd w:val="clear" w:color="auto" w:fill="FFFFFF"/>
                  <w:vAlign w:val="center"/>
                </w:tcPr>
                <w:p>
                  <w:pPr>
                    <w:adjustRightInd w:val="0"/>
                    <w:snapToGrid w:val="0"/>
                    <w:jc w:val="center"/>
                    <w:rPr>
                      <w:color w:val="auto"/>
                      <w:szCs w:val="21"/>
                    </w:rPr>
                  </w:pPr>
                  <w:r>
                    <w:rPr>
                      <w:color w:val="auto"/>
                      <w:szCs w:val="21"/>
                    </w:rPr>
                    <w:t>245米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68" w:hRule="atLeast"/>
              </w:trPr>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山柄</w:t>
                  </w:r>
                </w:p>
              </w:tc>
              <w:tc>
                <w:tcPr>
                  <w:tcW w:w="1134" w:type="dxa"/>
                  <w:shd w:val="clear" w:color="auto" w:fill="FFFFFF"/>
                  <w:vAlign w:val="center"/>
                </w:tcPr>
                <w:p>
                  <w:pPr>
                    <w:adjustRightInd w:val="0"/>
                    <w:snapToGrid w:val="0"/>
                    <w:jc w:val="center"/>
                    <w:rPr>
                      <w:color w:val="auto"/>
                      <w:szCs w:val="21"/>
                    </w:rPr>
                  </w:pPr>
                  <w:r>
                    <w:rPr>
                      <w:rFonts w:hint="eastAsia"/>
                      <w:color w:val="auto"/>
                      <w:szCs w:val="21"/>
                    </w:rPr>
                    <w:t>西</w:t>
                  </w:r>
                  <w:r>
                    <w:rPr>
                      <w:color w:val="auto"/>
                      <w:szCs w:val="21"/>
                    </w:rPr>
                    <w:t>面</w:t>
                  </w:r>
                </w:p>
              </w:tc>
              <w:tc>
                <w:tcPr>
                  <w:tcW w:w="1984" w:type="dxa"/>
                  <w:shd w:val="clear" w:color="auto" w:fill="FFFFFF"/>
                  <w:vAlign w:val="center"/>
                </w:tcPr>
                <w:p>
                  <w:pPr>
                    <w:adjustRightInd w:val="0"/>
                    <w:snapToGrid w:val="0"/>
                    <w:jc w:val="center"/>
                    <w:rPr>
                      <w:color w:val="auto"/>
                      <w:szCs w:val="21"/>
                    </w:rPr>
                  </w:pPr>
                  <w:r>
                    <w:rPr>
                      <w:color w:val="auto"/>
                      <w:szCs w:val="21"/>
                    </w:rPr>
                    <w:t>800米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07" w:hRule="atLeast"/>
              </w:trPr>
              <w:tc>
                <w:tcPr>
                  <w:tcW w:w="1266" w:type="dxa"/>
                  <w:vMerge w:val="restart"/>
                  <w:tcBorders>
                    <w:right w:val="single" w:color="auto" w:sz="4" w:space="0"/>
                  </w:tcBorders>
                  <w:shd w:val="clear" w:color="auto" w:fill="FFFFFF"/>
                  <w:vAlign w:val="center"/>
                </w:tcPr>
                <w:p>
                  <w:pPr>
                    <w:adjustRightInd w:val="0"/>
                    <w:snapToGrid w:val="0"/>
                    <w:jc w:val="center"/>
                    <w:rPr>
                      <w:color w:val="auto"/>
                      <w:szCs w:val="21"/>
                    </w:rPr>
                  </w:pPr>
                  <w:r>
                    <w:rPr>
                      <w:rFonts w:hint="eastAsia"/>
                      <w:color w:val="auto"/>
                      <w:szCs w:val="21"/>
                    </w:rPr>
                    <w:t>大</w:t>
                  </w:r>
                  <w:r>
                    <w:rPr>
                      <w:color w:val="auto"/>
                      <w:szCs w:val="21"/>
                    </w:rPr>
                    <w:t>长陇中学</w:t>
                  </w:r>
                </w:p>
              </w:tc>
              <w:tc>
                <w:tcPr>
                  <w:tcW w:w="861" w:type="dxa"/>
                  <w:tcBorders>
                    <w:left w:val="single" w:color="auto" w:sz="4" w:space="0"/>
                    <w:bottom w:val="single" w:color="auto" w:sz="4" w:space="0"/>
                  </w:tcBorders>
                  <w:shd w:val="clear" w:color="auto" w:fill="FFFFFF"/>
                  <w:vAlign w:val="center"/>
                </w:tcPr>
                <w:p>
                  <w:pPr>
                    <w:adjustRightInd w:val="0"/>
                    <w:snapToGrid w:val="0"/>
                    <w:jc w:val="center"/>
                    <w:rPr>
                      <w:color w:val="auto"/>
                      <w:szCs w:val="21"/>
                    </w:rPr>
                  </w:pPr>
                  <w:r>
                    <w:rPr>
                      <w:rFonts w:hint="eastAsia"/>
                      <w:color w:val="auto"/>
                      <w:szCs w:val="21"/>
                    </w:rPr>
                    <w:t>操场</w:t>
                  </w:r>
                </w:p>
              </w:tc>
              <w:tc>
                <w:tcPr>
                  <w:tcW w:w="1134" w:type="dxa"/>
                  <w:vMerge w:val="restart"/>
                  <w:shd w:val="clear" w:color="auto" w:fill="FFFFFF"/>
                  <w:vAlign w:val="center"/>
                </w:tcPr>
                <w:p>
                  <w:pPr>
                    <w:adjustRightInd w:val="0"/>
                    <w:snapToGrid w:val="0"/>
                    <w:jc w:val="center"/>
                    <w:rPr>
                      <w:color w:val="auto"/>
                      <w:szCs w:val="21"/>
                    </w:rPr>
                  </w:pPr>
                  <w:r>
                    <w:rPr>
                      <w:rFonts w:hint="eastAsia"/>
                      <w:color w:val="auto"/>
                      <w:szCs w:val="21"/>
                    </w:rPr>
                    <w:t>西</w:t>
                  </w:r>
                  <w:r>
                    <w:rPr>
                      <w:color w:val="auto"/>
                      <w:szCs w:val="21"/>
                    </w:rPr>
                    <w:t>南面</w:t>
                  </w:r>
                </w:p>
              </w:tc>
              <w:tc>
                <w:tcPr>
                  <w:tcW w:w="1984" w:type="dxa"/>
                  <w:tcBorders>
                    <w:bottom w:val="single" w:color="auto" w:sz="4" w:space="0"/>
                  </w:tcBorders>
                  <w:shd w:val="clear" w:color="auto" w:fill="FFFFFF"/>
                  <w:vAlign w:val="center"/>
                </w:tcPr>
                <w:p>
                  <w:pPr>
                    <w:adjustRightInd w:val="0"/>
                    <w:snapToGrid w:val="0"/>
                    <w:jc w:val="center"/>
                    <w:rPr>
                      <w:color w:val="auto"/>
                      <w:szCs w:val="21"/>
                    </w:rPr>
                  </w:pPr>
                  <w:r>
                    <w:rPr>
                      <w:rFonts w:hint="eastAsia"/>
                      <w:color w:val="auto"/>
                      <w:szCs w:val="21"/>
                    </w:rPr>
                    <w:t>18</w:t>
                  </w:r>
                  <w:r>
                    <w:rPr>
                      <w:color w:val="auto"/>
                      <w:szCs w:val="21"/>
                    </w:rPr>
                    <w:t>0</w:t>
                  </w:r>
                  <w:r>
                    <w:rPr>
                      <w:rFonts w:hint="eastAsia"/>
                      <w:color w:val="auto"/>
                      <w:szCs w:val="21"/>
                    </w:rPr>
                    <w:t>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94" w:hRule="atLeast"/>
              </w:trPr>
              <w:tc>
                <w:tcPr>
                  <w:tcW w:w="1266" w:type="dxa"/>
                  <w:vMerge w:val="continue"/>
                  <w:tcBorders>
                    <w:right w:val="single" w:color="auto" w:sz="4" w:space="0"/>
                  </w:tcBorders>
                  <w:shd w:val="clear" w:color="auto" w:fill="FFFFFF"/>
                  <w:vAlign w:val="center"/>
                </w:tcPr>
                <w:p>
                  <w:pPr>
                    <w:adjustRightInd w:val="0"/>
                    <w:snapToGrid w:val="0"/>
                    <w:jc w:val="center"/>
                    <w:rPr>
                      <w:color w:val="auto"/>
                      <w:szCs w:val="21"/>
                    </w:rPr>
                  </w:pPr>
                </w:p>
              </w:tc>
              <w:tc>
                <w:tcPr>
                  <w:tcW w:w="861" w:type="dxa"/>
                  <w:tcBorders>
                    <w:top w:val="single" w:color="auto" w:sz="4" w:space="0"/>
                    <w:left w:val="single" w:color="auto" w:sz="4" w:space="0"/>
                  </w:tcBorders>
                  <w:shd w:val="clear" w:color="auto" w:fill="FFFFFF"/>
                  <w:vAlign w:val="center"/>
                </w:tcPr>
                <w:p>
                  <w:pPr>
                    <w:adjustRightInd w:val="0"/>
                    <w:snapToGrid w:val="0"/>
                    <w:jc w:val="center"/>
                    <w:rPr>
                      <w:color w:val="auto"/>
                      <w:szCs w:val="21"/>
                    </w:rPr>
                  </w:pPr>
                  <w:r>
                    <w:rPr>
                      <w:rFonts w:hint="eastAsia"/>
                      <w:color w:val="auto"/>
                      <w:szCs w:val="21"/>
                    </w:rPr>
                    <w:t>教学楼</w:t>
                  </w:r>
                </w:p>
              </w:tc>
              <w:tc>
                <w:tcPr>
                  <w:tcW w:w="1134" w:type="dxa"/>
                  <w:vMerge w:val="continue"/>
                  <w:shd w:val="clear" w:color="auto" w:fill="FFFFFF"/>
                  <w:vAlign w:val="center"/>
                </w:tcPr>
                <w:p>
                  <w:pPr>
                    <w:adjustRightInd w:val="0"/>
                    <w:snapToGrid w:val="0"/>
                    <w:jc w:val="center"/>
                    <w:rPr>
                      <w:color w:val="auto"/>
                      <w:szCs w:val="21"/>
                    </w:rPr>
                  </w:pPr>
                </w:p>
              </w:tc>
              <w:tc>
                <w:tcPr>
                  <w:tcW w:w="1984" w:type="dxa"/>
                  <w:tcBorders>
                    <w:top w:val="single" w:color="auto" w:sz="4" w:space="0"/>
                  </w:tcBorders>
                  <w:shd w:val="clear" w:color="auto" w:fill="FFFFFF"/>
                  <w:vAlign w:val="center"/>
                </w:tcPr>
                <w:p>
                  <w:pPr>
                    <w:adjustRightInd w:val="0"/>
                    <w:snapToGrid w:val="0"/>
                    <w:jc w:val="center"/>
                    <w:rPr>
                      <w:color w:val="auto"/>
                      <w:szCs w:val="21"/>
                    </w:rPr>
                  </w:pPr>
                  <w:r>
                    <w:rPr>
                      <w:rFonts w:hint="eastAsia"/>
                      <w:color w:val="auto"/>
                      <w:szCs w:val="21"/>
                    </w:rPr>
                    <w:t>23</w:t>
                  </w:r>
                  <w:r>
                    <w:rPr>
                      <w:color w:val="auto"/>
                      <w:szCs w:val="21"/>
                    </w:rPr>
                    <w:t>0</w:t>
                  </w:r>
                  <w:r>
                    <w:rPr>
                      <w:rFonts w:hint="eastAsia"/>
                      <w:color w:val="auto"/>
                      <w:szCs w:val="21"/>
                    </w:rPr>
                    <w:t>米</w:t>
                  </w:r>
                </w:p>
              </w:tc>
              <w:tc>
                <w:tcPr>
                  <w:tcW w:w="3240" w:type="dxa"/>
                  <w:vMerge w:val="continue"/>
                  <w:shd w:val="clear" w:color="auto" w:fill="FFFFFF"/>
                  <w:vAlign w:val="center"/>
                </w:tcPr>
                <w:p>
                  <w:pPr>
                    <w:adjustRightInd w:val="0"/>
                    <w:snapToGrid w:val="0"/>
                    <w:jc w:val="center"/>
                    <w:rPr>
                      <w:color w:val="auto"/>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2127" w:type="dxa"/>
                  <w:gridSpan w:val="2"/>
                  <w:shd w:val="clear" w:color="auto" w:fill="FFFFFF"/>
                  <w:vAlign w:val="center"/>
                </w:tcPr>
                <w:p>
                  <w:pPr>
                    <w:adjustRightInd w:val="0"/>
                    <w:snapToGrid w:val="0"/>
                    <w:jc w:val="center"/>
                    <w:rPr>
                      <w:color w:val="auto"/>
                      <w:szCs w:val="21"/>
                    </w:rPr>
                  </w:pPr>
                  <w:r>
                    <w:rPr>
                      <w:rFonts w:hint="eastAsia"/>
                      <w:color w:val="auto"/>
                      <w:szCs w:val="21"/>
                    </w:rPr>
                    <w:t>无名</w:t>
                  </w:r>
                  <w:r>
                    <w:rPr>
                      <w:color w:val="auto"/>
                      <w:szCs w:val="21"/>
                    </w:rPr>
                    <w:t>沟渠</w:t>
                  </w:r>
                </w:p>
              </w:tc>
              <w:tc>
                <w:tcPr>
                  <w:tcW w:w="1134" w:type="dxa"/>
                  <w:shd w:val="clear" w:color="auto" w:fill="FFFFFF"/>
                  <w:vAlign w:val="center"/>
                </w:tcPr>
                <w:p>
                  <w:pPr>
                    <w:adjustRightInd w:val="0"/>
                    <w:snapToGrid w:val="0"/>
                    <w:jc w:val="center"/>
                    <w:rPr>
                      <w:color w:val="auto"/>
                      <w:szCs w:val="21"/>
                    </w:rPr>
                  </w:pPr>
                  <w:r>
                    <w:rPr>
                      <w:rFonts w:hint="eastAsia"/>
                      <w:color w:val="auto"/>
                      <w:szCs w:val="21"/>
                    </w:rPr>
                    <w:t>东</w:t>
                  </w:r>
                  <w:r>
                    <w:rPr>
                      <w:color w:val="auto"/>
                      <w:szCs w:val="21"/>
                    </w:rPr>
                    <w:t>面</w:t>
                  </w:r>
                </w:p>
              </w:tc>
              <w:tc>
                <w:tcPr>
                  <w:tcW w:w="1984" w:type="dxa"/>
                  <w:shd w:val="clear" w:color="auto" w:fill="FFFFFF"/>
                  <w:vAlign w:val="center"/>
                </w:tcPr>
                <w:p>
                  <w:pPr>
                    <w:adjustRightInd w:val="0"/>
                    <w:snapToGrid w:val="0"/>
                    <w:jc w:val="center"/>
                    <w:rPr>
                      <w:color w:val="auto"/>
                      <w:szCs w:val="21"/>
                    </w:rPr>
                  </w:pPr>
                  <w:r>
                    <w:rPr>
                      <w:color w:val="auto"/>
                      <w:szCs w:val="21"/>
                    </w:rPr>
                    <w:t>245米</w:t>
                  </w:r>
                </w:p>
              </w:tc>
              <w:tc>
                <w:tcPr>
                  <w:tcW w:w="3240" w:type="dxa"/>
                  <w:shd w:val="clear" w:color="auto" w:fill="FFFFFF"/>
                  <w:vAlign w:val="center"/>
                </w:tcPr>
                <w:p>
                  <w:pPr>
                    <w:adjustRightInd w:val="0"/>
                    <w:snapToGrid w:val="0"/>
                    <w:jc w:val="center"/>
                    <w:rPr>
                      <w:color w:val="auto"/>
                      <w:szCs w:val="21"/>
                    </w:rPr>
                  </w:pPr>
                  <w:r>
                    <w:rPr>
                      <w:color w:val="auto"/>
                      <w:szCs w:val="21"/>
                    </w:rPr>
                    <w:t>V类水体</w:t>
                  </w:r>
                </w:p>
              </w:tc>
            </w:tr>
          </w:tbl>
          <w:p>
            <w:pPr>
              <w:widowControl/>
              <w:spacing w:line="336" w:lineRule="auto"/>
              <w:rPr>
                <w:b/>
                <w:bCs/>
                <w:color w:val="auto"/>
                <w:sz w:val="24"/>
              </w:rPr>
            </w:pPr>
            <w:r>
              <w:rPr>
                <w:color w:val="auto"/>
              </w:rPr>
              <w:pict>
                <v:shape id="文本框 150" o:spid="_x0000_s1027" o:spt="202" type="#_x0000_t202" style="position:absolute;left:0pt;margin-left:432.5pt;margin-top:46.8pt;height:27.5pt;width:24.75pt;z-index:251653120;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">
                  <v:path/>
                  <v:fill on="f" focussize="0,0"/>
                  <v:stroke on="f" joinstyle="miter"/>
                  <v:imagedata o:title=""/>
                  <o:lock v:ext="edit"/>
                  <v:textbox>
                    <w:txbxContent>
                      <w:p>
                        <w:pPr>
                          <w:rPr>
                            <w:color w:val="FFFFFF"/>
                          </w:rPr>
                        </w:pPr>
                        <w:r>
                          <w:rPr>
                            <w:rFonts w:hint="eastAsia"/>
                            <w:color w:val="FFFFFF"/>
                          </w:rPr>
                          <w:t>北</w:t>
                        </w:r>
                      </w:p>
                    </w:txbxContent>
                  </v:textbox>
                </v:shape>
              </w:pict>
            </w:r>
            <w:r>
              <w:rPr>
                <w:color w:val="auto"/>
              </w:rPr>
              <w:pict>
                <v:shape id="自选图形 149" o:spid="_x0000_s1032" o:spt="32" type="#_x0000_t32" style="position:absolute;left:0pt;flip:y;margin-left:445.4pt;margin-top:11.65pt;height:29.25pt;width:0pt;z-index:251652096;mso-width-relative:page;mso-height-relative:page;" filled="f"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">
                  <v:path arrowok="t"/>
                  <v:fill on="f" focussize="0,0"/>
                  <v:stroke color="#FFFFFF" endarrow="block"/>
                  <v:imagedata o:title=""/>
                  <o:lock v:ext="edit"/>
                </v:shape>
              </w:pict>
            </w:r>
          </w:p>
          <w:p>
            <w:pPr>
              <w:keepNext/>
              <w:keepLines/>
              <w:topLinePunct/>
              <w:adjustRightInd w:val="0"/>
              <w:snapToGrid w:val="0"/>
              <w:jc w:val="center"/>
              <w:rPr>
                <w:b/>
                <w:bCs/>
                <w:color w:val="auto"/>
                <w:sz w:val="24"/>
              </w:rPr>
            </w:pPr>
          </w:p>
        </w:tc>
      </w:tr>
    </w:tbl>
    <w:p>
      <w:pPr>
        <w:ind w:firstLine="420"/>
        <w:rPr>
          <w:color w:val="auto"/>
        </w:rPr>
        <w:sectPr>
          <w:pgSz w:w="11906" w:h="16838"/>
          <w:pgMar w:top="1440" w:right="1080" w:bottom="1440" w:left="1080" w:header="851" w:footer="992" w:gutter="0"/>
          <w:cols w:space="720" w:num="1"/>
          <w:docGrid w:linePitch="312" w:charSpace="0"/>
        </w:sectPr>
      </w:pPr>
    </w:p>
    <w:p>
      <w:pPr>
        <w:pStyle w:val="3"/>
        <w:keepLines/>
        <w:tabs>
          <w:tab w:val="left" w:pos="630"/>
        </w:tabs>
        <w:jc w:val="both"/>
        <w:rPr>
          <w:b/>
          <w:bCs/>
          <w:color w:val="auto"/>
          <w:kern w:val="44"/>
          <w:sz w:val="30"/>
          <w:szCs w:val="30"/>
        </w:rPr>
      </w:pPr>
      <w:r>
        <w:rPr>
          <w:b/>
          <w:bCs/>
          <w:color w:val="auto"/>
          <w:kern w:val="44"/>
          <w:sz w:val="30"/>
          <w:szCs w:val="30"/>
        </w:rPr>
        <w:t>四、评价适用标准</w:t>
      </w:r>
    </w:p>
    <w:tbl>
      <w:tblPr>
        <w:tblStyle w:val="29"/>
        <w:tblW w:w="9747"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688"/>
        <w:gridCol w:w="9059"/>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460" w:hRule="atLeast"/>
        </w:trPr>
        <w:tc>
          <w:tcPr>
            <w:tcW w:w="688" w:type="dxa"/>
            <w:vAlign w:val="center"/>
          </w:tcPr>
          <w:p>
            <w:pPr>
              <w:pStyle w:val="81"/>
              <w:topLinePunct w:val="0"/>
              <w:autoSpaceDE/>
              <w:autoSpaceDN/>
              <w:adjustRightInd/>
              <w:spacing w:before="120"/>
              <w:ind w:firstLine="560"/>
              <w:textAlignment w:val="auto"/>
              <w:rPr>
                <w:rFonts w:ascii="Times New Roman" w:hAnsi="Times New Roman"/>
                <w:color w:val="auto"/>
                <w:kern w:val="2"/>
                <w:sz w:val="24"/>
                <w:szCs w:val="24"/>
              </w:rPr>
            </w:pPr>
            <w:r>
              <w:rPr>
                <w:rFonts w:ascii="Times New Roman" w:hAnsi="Times New Roman"/>
                <w:color w:val="auto"/>
                <w:kern w:val="2"/>
                <w:sz w:val="24"/>
                <w:szCs w:val="24"/>
              </w:rPr>
              <w:t>环环境质量标准</w:t>
            </w:r>
          </w:p>
        </w:tc>
        <w:tc>
          <w:tcPr>
            <w:tcW w:w="9059" w:type="dxa"/>
            <w:vAlign w:val="center"/>
          </w:tcPr>
          <w:p>
            <w:pPr>
              <w:numPr>
                <w:ilvl w:val="0"/>
                <w:numId w:val="6"/>
              </w:numPr>
              <w:spacing w:line="360" w:lineRule="auto"/>
              <w:ind w:firstLine="471"/>
              <w:rPr>
                <w:color w:val="auto"/>
                <w:sz w:val="24"/>
              </w:rPr>
            </w:pPr>
            <w:r>
              <w:rPr>
                <w:color w:val="auto"/>
                <w:sz w:val="24"/>
              </w:rPr>
              <w:t>地表水环境</w:t>
            </w:r>
          </w:p>
          <w:p>
            <w:pPr>
              <w:spacing w:line="360" w:lineRule="auto"/>
              <w:ind w:firstLine="480" w:firstLineChars="200"/>
              <w:rPr>
                <w:color w:val="auto"/>
                <w:sz w:val="24"/>
              </w:rPr>
            </w:pPr>
            <w:r>
              <w:rPr>
                <w:color w:val="auto"/>
                <w:sz w:val="24"/>
              </w:rPr>
              <w:t>项目地表水环境质量执行《地表水环境质量标准》（GB3838-2002）</w:t>
            </w:r>
            <w:r>
              <w:rPr>
                <w:color w:val="auto"/>
              </w:rPr>
              <w:t>V</w:t>
            </w:r>
            <w:r>
              <w:rPr>
                <w:color w:val="auto"/>
                <w:sz w:val="24"/>
              </w:rPr>
              <w:t>类标准。</w:t>
            </w:r>
          </w:p>
          <w:p>
            <w:pPr>
              <w:ind w:firstLine="482" w:firstLineChars="200"/>
              <w:jc w:val="center"/>
              <w:rPr>
                <w:b/>
                <w:color w:val="auto"/>
                <w:sz w:val="24"/>
              </w:rPr>
            </w:pPr>
            <w:r>
              <w:rPr>
                <w:b/>
                <w:color w:val="auto"/>
                <w:sz w:val="24"/>
              </w:rPr>
              <w:t>表4-1 地表水环境质量标准（单位：mg/L，pH值除外）</w:t>
            </w:r>
          </w:p>
          <w:tbl>
            <w:tblPr>
              <w:tblStyle w:val="29"/>
              <w:tblpPr w:leftFromText="180" w:rightFromText="180" w:vertAnchor="text" w:horzAnchor="page" w:tblpXSpec="center" w:tblpY="359"/>
              <w:tblOverlap w:val="never"/>
              <w:tblW w:w="64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41"/>
              <w:gridCol w:w="1862"/>
              <w:gridCol w:w="1852"/>
              <w:gridCol w:w="20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序号</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项目</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V类</w:t>
                  </w:r>
                </w:p>
              </w:tc>
              <w:tc>
                <w:tcPr>
                  <w:tcW w:w="203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选用标准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1</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pH</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6～9</w:t>
                  </w:r>
                </w:p>
              </w:tc>
              <w:tc>
                <w:tcPr>
                  <w:tcW w:w="2032" w:type="dxa"/>
                  <w:vMerge w:val="restart"/>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《地表水环境质量标准》(GB3838-2002)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2</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DO</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3</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COD</w:t>
                  </w:r>
                  <w:r>
                    <w:rPr>
                      <w:color w:val="auto"/>
                      <w:vertAlign w:val="subscript"/>
                    </w:rPr>
                    <w:t>Cr</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≤40</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4</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BOD</w:t>
                  </w:r>
                  <w:r>
                    <w:rPr>
                      <w:color w:val="auto"/>
                      <w:vertAlign w:val="subscript"/>
                    </w:rPr>
                    <w:t>5</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≤10</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5</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NH</w:t>
                  </w:r>
                  <w:r>
                    <w:rPr>
                      <w:color w:val="auto"/>
                      <w:vertAlign w:val="subscript"/>
                    </w:rPr>
                    <w:t>3</w:t>
                  </w:r>
                  <w:r>
                    <w:rPr>
                      <w:color w:val="auto"/>
                    </w:rPr>
                    <w:t>-N</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≤2.0</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6</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石油类</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7</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硫化物</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≤1.0</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r>
                    <w:rPr>
                      <w:color w:val="auto"/>
                    </w:rPr>
                    <w:t>8</w:t>
                  </w: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总氮</w:t>
                  </w:r>
                </w:p>
              </w:tc>
              <w:tc>
                <w:tcPr>
                  <w:tcW w:w="1852"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≤2.0</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74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c>
                <w:tcPr>
                  <w:tcW w:w="1862"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ind w:left="-97" w:leftChars="-46" w:firstLine="1"/>
                    <w:jc w:val="center"/>
                    <w:rPr>
                      <w:color w:val="auto"/>
                    </w:rPr>
                  </w:pPr>
                  <w:r>
                    <w:rPr>
                      <w:color w:val="auto"/>
                    </w:rPr>
                    <w:t>总磷</w:t>
                  </w:r>
                </w:p>
              </w:tc>
              <w:tc>
                <w:tcPr>
                  <w:tcW w:w="1852" w:type="dxa"/>
                  <w:tcBorders>
                    <w:top w:val="single" w:color="auto" w:sz="4" w:space="0"/>
                    <w:left w:val="single" w:color="auto" w:sz="4" w:space="0"/>
                    <w:bottom w:val="single" w:color="auto" w:sz="4" w:space="0"/>
                    <w:right w:val="single" w:color="auto" w:sz="4" w:space="0"/>
                  </w:tcBorders>
                </w:tcPr>
                <w:p>
                  <w:pPr>
                    <w:jc w:val="center"/>
                    <w:rPr>
                      <w:color w:val="auto"/>
                    </w:rPr>
                  </w:pPr>
                  <w:r>
                    <w:rPr>
                      <w:color w:val="auto"/>
                    </w:rPr>
                    <w:t>≤0.4</w:t>
                  </w:r>
                </w:p>
              </w:tc>
              <w:tc>
                <w:tcPr>
                  <w:tcW w:w="2032" w:type="dxa"/>
                  <w:vMerge w:val="continue"/>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jc w:val="center"/>
                    <w:rPr>
                      <w:color w:val="auto"/>
                    </w:rPr>
                  </w:pPr>
                </w:p>
              </w:tc>
            </w:tr>
          </w:tbl>
          <w:p>
            <w:pPr>
              <w:spacing w:line="480" w:lineRule="exact"/>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p>
          <w:p>
            <w:pPr>
              <w:spacing w:line="360" w:lineRule="auto"/>
              <w:ind w:firstLine="471"/>
              <w:rPr>
                <w:color w:val="auto"/>
                <w:sz w:val="24"/>
              </w:rPr>
            </w:pPr>
            <w:r>
              <w:rPr>
                <w:color w:val="auto"/>
                <w:sz w:val="24"/>
              </w:rPr>
              <w:t>2、大气环境</w:t>
            </w:r>
          </w:p>
          <w:p>
            <w:pPr>
              <w:spacing w:line="360" w:lineRule="auto"/>
              <w:ind w:firstLine="471"/>
              <w:rPr>
                <w:color w:val="auto"/>
                <w:sz w:val="24"/>
              </w:rPr>
            </w:pPr>
            <w:r>
              <w:rPr>
                <w:color w:val="auto"/>
                <w:sz w:val="24"/>
              </w:rPr>
              <w:t>根据项目所在区域环境空气质量的功能区划，大气环境质量标准执行《环境空气质量标准》(GB3095-2012)2018年修改单二级标准。各环境因子执行标准见表4-2。</w:t>
            </w:r>
          </w:p>
          <w:p>
            <w:pPr>
              <w:ind w:firstLine="482" w:firstLineChars="200"/>
              <w:jc w:val="center"/>
              <w:rPr>
                <w:color w:val="auto"/>
                <w:sz w:val="24"/>
              </w:rPr>
            </w:pPr>
            <w:r>
              <w:rPr>
                <w:b/>
                <w:color w:val="auto"/>
                <w:sz w:val="24"/>
              </w:rPr>
              <w:t>表4-2  大气环境质量评价标准</w:t>
            </w:r>
          </w:p>
          <w:tbl>
            <w:tblPr>
              <w:tblStyle w:val="29"/>
              <w:tblW w:w="8197"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28" w:type="dxa"/>
                <w:left w:w="0" w:type="dxa"/>
                <w:bottom w:w="28" w:type="dxa"/>
                <w:right w:w="0" w:type="dxa"/>
              </w:tblCellMar>
            </w:tblPr>
            <w:tblGrid>
              <w:gridCol w:w="786"/>
              <w:gridCol w:w="2853"/>
              <w:gridCol w:w="1090"/>
              <w:gridCol w:w="1166"/>
              <w:gridCol w:w="2302"/>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项目</w:t>
                  </w:r>
                </w:p>
              </w:tc>
              <w:tc>
                <w:tcPr>
                  <w:tcW w:w="2853"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标准名称及级别</w:t>
                  </w:r>
                </w:p>
              </w:tc>
              <w:tc>
                <w:tcPr>
                  <w:tcW w:w="2256" w:type="dxa"/>
                  <w:gridSpan w:val="2"/>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污染物因子</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二级标准</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环境</w:t>
                  </w:r>
                </w:p>
                <w:p>
                  <w:pPr>
                    <w:adjustRightInd w:val="0"/>
                    <w:snapToGrid w:val="0"/>
                    <w:jc w:val="center"/>
                    <w:rPr>
                      <w:color w:val="auto"/>
                      <w:sz w:val="24"/>
                    </w:rPr>
                  </w:pPr>
                  <w:r>
                    <w:rPr>
                      <w:color w:val="auto"/>
                      <w:sz w:val="24"/>
                    </w:rPr>
                    <w:t>空气</w:t>
                  </w:r>
                </w:p>
              </w:tc>
              <w:tc>
                <w:tcPr>
                  <w:tcW w:w="2853"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《环境空气质量标准》(GB3095-2012)2018年修改单二级标准</w:t>
                  </w:r>
                </w:p>
              </w:tc>
              <w:tc>
                <w:tcPr>
                  <w:tcW w:w="1090"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NO</w:t>
                  </w:r>
                  <w:r>
                    <w:rPr>
                      <w:color w:val="auto"/>
                      <w:sz w:val="24"/>
                      <w:vertAlign w:val="subscript"/>
                    </w:rPr>
                    <w:t>2</w:t>
                  </w: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日平均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80μg/m</w:t>
                  </w:r>
                  <w:r>
                    <w:rPr>
                      <w:color w:val="auto"/>
                      <w:sz w:val="24"/>
                      <w:vertAlign w:val="superscript"/>
                    </w:rPr>
                    <w:t>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2853"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090"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小时平均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200μg/m</w:t>
                  </w:r>
                  <w:r>
                    <w:rPr>
                      <w:color w:val="auto"/>
                      <w:sz w:val="24"/>
                      <w:vertAlign w:val="superscript"/>
                    </w:rPr>
                    <w:t>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2853"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090"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SO</w:t>
                  </w:r>
                  <w:r>
                    <w:rPr>
                      <w:color w:val="auto"/>
                      <w:sz w:val="24"/>
                      <w:vertAlign w:val="subscript"/>
                    </w:rPr>
                    <w:t xml:space="preserve">2 </w:t>
                  </w: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日平均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150μg/m</w:t>
                  </w:r>
                  <w:r>
                    <w:rPr>
                      <w:color w:val="auto"/>
                      <w:sz w:val="24"/>
                      <w:vertAlign w:val="superscript"/>
                    </w:rPr>
                    <w:t>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2853"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090"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小时平均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500μg/m</w:t>
                  </w:r>
                  <w:r>
                    <w:rPr>
                      <w:color w:val="auto"/>
                      <w:sz w:val="24"/>
                      <w:vertAlign w:val="superscript"/>
                    </w:rPr>
                    <w:t>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2853"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090"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PM</w:t>
                  </w:r>
                  <w:r>
                    <w:rPr>
                      <w:color w:val="auto"/>
                      <w:sz w:val="24"/>
                      <w:vertAlign w:val="subscript"/>
                    </w:rPr>
                    <w:t>10</w:t>
                  </w: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年平均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70μg/m</w:t>
                  </w:r>
                  <w:r>
                    <w:rPr>
                      <w:color w:val="auto"/>
                      <w:sz w:val="24"/>
                      <w:vertAlign w:val="superscript"/>
                    </w:rPr>
                    <w:t>3</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28" w:type="dxa"/>
                  <w:left w:w="0" w:type="dxa"/>
                  <w:bottom w:w="28" w:type="dxa"/>
                  <w:right w:w="0" w:type="dxa"/>
                </w:tblCellMar>
              </w:tblPrEx>
              <w:trPr>
                <w:jc w:val="center"/>
              </w:trPr>
              <w:tc>
                <w:tcPr>
                  <w:tcW w:w="786"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2853"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090"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p>
              </w:tc>
              <w:tc>
                <w:tcPr>
                  <w:tcW w:w="1166"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日平均</w:t>
                  </w:r>
                </w:p>
              </w:tc>
              <w:tc>
                <w:tcPr>
                  <w:tcW w:w="2302" w:type="dxa"/>
                  <w:tcBorders>
                    <w:top w:val="single" w:color="000000" w:sz="8" w:space="0"/>
                    <w:left w:val="single" w:color="000000" w:sz="8" w:space="0"/>
                    <w:bottom w:val="single" w:color="000000" w:sz="8" w:space="0"/>
                    <w:right w:val="single" w:color="000000" w:sz="8" w:space="0"/>
                  </w:tcBorders>
                  <w:shd w:val="clear" w:color="auto" w:fill="FFFFFF"/>
                  <w:vAlign w:val="center"/>
                </w:tcPr>
                <w:p>
                  <w:pPr>
                    <w:adjustRightInd w:val="0"/>
                    <w:snapToGrid w:val="0"/>
                    <w:jc w:val="center"/>
                    <w:rPr>
                      <w:color w:val="auto"/>
                      <w:sz w:val="24"/>
                    </w:rPr>
                  </w:pPr>
                  <w:r>
                    <w:rPr>
                      <w:color w:val="auto"/>
                      <w:sz w:val="24"/>
                    </w:rPr>
                    <w:t>150μg/m</w:t>
                  </w:r>
                  <w:r>
                    <w:rPr>
                      <w:color w:val="auto"/>
                      <w:sz w:val="24"/>
                      <w:vertAlign w:val="superscript"/>
                    </w:rPr>
                    <w:t>3</w:t>
                  </w:r>
                </w:p>
              </w:tc>
            </w:tr>
          </w:tbl>
          <w:p>
            <w:pPr>
              <w:spacing w:line="360" w:lineRule="auto"/>
              <w:ind w:firstLine="480" w:firstLineChars="200"/>
              <w:rPr>
                <w:color w:val="auto"/>
                <w:sz w:val="24"/>
              </w:rPr>
            </w:pPr>
          </w:p>
          <w:p>
            <w:pPr>
              <w:spacing w:line="360" w:lineRule="auto"/>
              <w:ind w:firstLine="480" w:firstLineChars="200"/>
              <w:rPr>
                <w:color w:val="auto"/>
                <w:sz w:val="24"/>
              </w:rPr>
            </w:pPr>
            <w:r>
              <w:rPr>
                <w:color w:val="auto"/>
                <w:sz w:val="24"/>
              </w:rPr>
              <w:t>3、声环境</w:t>
            </w:r>
          </w:p>
          <w:p>
            <w:pPr>
              <w:spacing w:line="360" w:lineRule="auto"/>
              <w:ind w:firstLine="471"/>
              <w:rPr>
                <w:snapToGrid w:val="0"/>
                <w:color w:val="auto"/>
                <w:kern w:val="0"/>
                <w:sz w:val="24"/>
              </w:rPr>
            </w:pPr>
            <w:r>
              <w:rPr>
                <w:snapToGrid w:val="0"/>
                <w:color w:val="auto"/>
                <w:kern w:val="0"/>
                <w:sz w:val="24"/>
              </w:rPr>
              <w:t>项目所在地属于声环境2类标准适用区，声环境执行《声环境质量标准》（GB 3096—2008）2类标准。项目执行的声环境质量标准限值详见表4-3。</w:t>
            </w:r>
          </w:p>
          <w:p>
            <w:pPr>
              <w:ind w:firstLine="482" w:firstLineChars="200"/>
              <w:jc w:val="center"/>
              <w:rPr>
                <w:b/>
                <w:color w:val="auto"/>
                <w:sz w:val="24"/>
              </w:rPr>
            </w:pPr>
            <w:r>
              <w:rPr>
                <w:b/>
                <w:color w:val="auto"/>
                <w:sz w:val="24"/>
              </w:rPr>
              <w:t>表4-3  声环境质量标准（GB 3096—2008）单位：dB(A)</w:t>
            </w:r>
          </w:p>
          <w:tbl>
            <w:tblPr>
              <w:tblStyle w:val="29"/>
              <w:tblW w:w="8197"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185"/>
              <w:gridCol w:w="4892"/>
              <w:gridCol w:w="1134"/>
              <w:gridCol w:w="986"/>
            </w:tblGrid>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185"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r>
                    <w:rPr>
                      <w:b/>
                      <w:bCs/>
                      <w:color w:val="auto"/>
                      <w:szCs w:val="21"/>
                    </w:rPr>
                    <w:t>采用标准</w:t>
                  </w:r>
                </w:p>
              </w:tc>
              <w:tc>
                <w:tcPr>
                  <w:tcW w:w="4892" w:type="dxa"/>
                  <w:vMerge w:val="restart"/>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r>
                    <w:rPr>
                      <w:b/>
                      <w:bCs/>
                      <w:color w:val="auto"/>
                      <w:szCs w:val="21"/>
                    </w:rPr>
                    <w:t>适用区域</w:t>
                  </w:r>
                </w:p>
              </w:tc>
              <w:tc>
                <w:tcPr>
                  <w:tcW w:w="2120" w:type="dxa"/>
                  <w:gridSpan w:val="2"/>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r>
                    <w:rPr>
                      <w:b/>
                      <w:bCs/>
                      <w:color w:val="auto"/>
                      <w:szCs w:val="21"/>
                    </w:rPr>
                    <w:t>标准值[dB（A）]</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1185"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p>
              </w:tc>
              <w:tc>
                <w:tcPr>
                  <w:tcW w:w="4892" w:type="dxa"/>
                  <w:vMerge w:val="continue"/>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p>
              </w:tc>
              <w:tc>
                <w:tcPr>
                  <w:tcW w:w="1134"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r>
                    <w:rPr>
                      <w:b/>
                      <w:bCs/>
                      <w:color w:val="auto"/>
                      <w:szCs w:val="21"/>
                    </w:rPr>
                    <w:t>昼间</w:t>
                  </w:r>
                </w:p>
              </w:tc>
              <w:tc>
                <w:tcPr>
                  <w:tcW w:w="9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b/>
                      <w:bCs/>
                      <w:color w:val="auto"/>
                      <w:szCs w:val="21"/>
                    </w:rPr>
                  </w:pPr>
                  <w:r>
                    <w:rPr>
                      <w:b/>
                      <w:bCs/>
                      <w:color w:val="auto"/>
                      <w:szCs w:val="21"/>
                    </w:rPr>
                    <w:t>夜</w:t>
                  </w:r>
                </w:p>
              </w:tc>
            </w:tr>
            <w:tr>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99" w:hRule="atLeast"/>
                <w:jc w:val="center"/>
              </w:trPr>
              <w:tc>
                <w:tcPr>
                  <w:tcW w:w="1185"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2类</w:t>
                  </w:r>
                </w:p>
              </w:tc>
              <w:tc>
                <w:tcPr>
                  <w:tcW w:w="4892"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rFonts w:hint="eastAsia"/>
                      <w:color w:val="auto"/>
                    </w:rPr>
                    <w:t>项目所在区域</w:t>
                  </w:r>
                </w:p>
              </w:tc>
              <w:tc>
                <w:tcPr>
                  <w:tcW w:w="1134"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60</w:t>
                  </w:r>
                </w:p>
              </w:tc>
              <w:tc>
                <w:tcPr>
                  <w:tcW w:w="986" w:type="dxa"/>
                  <w:tcBorders>
                    <w:top w:val="single" w:color="000000" w:sz="8" w:space="0"/>
                    <w:left w:val="single" w:color="000000" w:sz="8" w:space="0"/>
                    <w:bottom w:val="single" w:color="000000" w:sz="8" w:space="0"/>
                    <w:right w:val="single" w:color="000000" w:sz="8" w:space="0"/>
                  </w:tcBorders>
                  <w:shd w:val="clear" w:color="auto" w:fill="FFFFFF"/>
                  <w:vAlign w:val="center"/>
                </w:tcPr>
                <w:p>
                  <w:pPr>
                    <w:jc w:val="center"/>
                    <w:rPr>
                      <w:color w:val="auto"/>
                      <w:szCs w:val="21"/>
                    </w:rPr>
                  </w:pPr>
                  <w:r>
                    <w:rPr>
                      <w:color w:val="auto"/>
                      <w:szCs w:val="21"/>
                    </w:rPr>
                    <w:t>50</w:t>
                  </w:r>
                </w:p>
              </w:tc>
            </w:tr>
          </w:tbl>
          <w:p>
            <w:pPr>
              <w:pStyle w:val="68"/>
              <w:ind w:firstLine="0" w:firstLineChars="0"/>
              <w:rPr>
                <w:rFonts w:cs="Times New Roman"/>
                <w:color w:val="auto"/>
                <w:sz w:val="24"/>
                <w:szCs w:val="24"/>
              </w:rPr>
            </w:pPr>
          </w:p>
          <w:p>
            <w:pPr>
              <w:pStyle w:val="68"/>
              <w:ind w:firstLine="0" w:firstLineChars="0"/>
              <w:rPr>
                <w:rFonts w:cs="Times New Roman"/>
                <w:color w:val="auto"/>
                <w:sz w:val="24"/>
                <w:szCs w:val="24"/>
              </w:rPr>
            </w:pPr>
          </w:p>
          <w:p>
            <w:pPr>
              <w:pStyle w:val="68"/>
              <w:ind w:firstLine="0" w:firstLineChars="0"/>
              <w:rPr>
                <w:rFonts w:cs="Times New Roman"/>
                <w:color w:val="auto"/>
                <w:sz w:val="24"/>
                <w:szCs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836" w:hRule="atLeast"/>
        </w:trPr>
        <w:tc>
          <w:tcPr>
            <w:tcW w:w="688" w:type="dxa"/>
            <w:vAlign w:val="center"/>
          </w:tcPr>
          <w:p>
            <w:pPr>
              <w:pStyle w:val="81"/>
              <w:topLinePunct w:val="0"/>
              <w:autoSpaceDE/>
              <w:autoSpaceDN/>
              <w:adjustRightInd/>
              <w:spacing w:before="120" w:line="300" w:lineRule="auto"/>
              <w:ind w:firstLine="560"/>
              <w:textAlignment w:val="auto"/>
              <w:rPr>
                <w:rFonts w:ascii="Times New Roman" w:hAnsi="Times New Roman"/>
                <w:color w:val="auto"/>
                <w:kern w:val="2"/>
                <w:sz w:val="24"/>
                <w:szCs w:val="24"/>
              </w:rPr>
            </w:pPr>
            <w:r>
              <w:rPr>
                <w:rFonts w:ascii="Times New Roman" w:hAnsi="Times New Roman"/>
                <w:color w:val="auto"/>
                <w:kern w:val="2"/>
                <w:sz w:val="24"/>
                <w:szCs w:val="24"/>
              </w:rPr>
              <w:t>污污染物排放标准</w:t>
            </w:r>
          </w:p>
        </w:tc>
        <w:tc>
          <w:tcPr>
            <w:tcW w:w="9059" w:type="dxa"/>
            <w:vAlign w:val="center"/>
          </w:tcPr>
          <w:p>
            <w:pPr>
              <w:spacing w:line="480" w:lineRule="exact"/>
              <w:ind w:firstLine="471"/>
              <w:rPr>
                <w:b/>
                <w:snapToGrid w:val="0"/>
                <w:color w:val="auto"/>
                <w:kern w:val="0"/>
                <w:sz w:val="24"/>
              </w:rPr>
            </w:pPr>
            <w:r>
              <w:rPr>
                <w:b/>
                <w:snapToGrid w:val="0"/>
                <w:color w:val="auto"/>
                <w:kern w:val="0"/>
                <w:sz w:val="24"/>
              </w:rPr>
              <w:t>1、水污染物排放标准：</w:t>
            </w:r>
          </w:p>
          <w:p>
            <w:pPr>
              <w:spacing w:line="360" w:lineRule="auto"/>
              <w:ind w:firstLine="480" w:firstLineChars="200"/>
              <w:jc w:val="left"/>
              <w:rPr>
                <w:color w:val="auto"/>
                <w:sz w:val="24"/>
              </w:rPr>
            </w:pPr>
            <w:r>
              <w:rPr>
                <w:snapToGrid w:val="0"/>
                <w:color w:val="auto"/>
                <w:kern w:val="0"/>
                <w:sz w:val="24"/>
              </w:rPr>
              <w:t>项目产生的车辆及地面冲洗废水经</w:t>
            </w:r>
            <w:r>
              <w:rPr>
                <w:rFonts w:hint="eastAsia"/>
                <w:snapToGrid w:val="0"/>
                <w:color w:val="auto"/>
                <w:kern w:val="0"/>
                <w:sz w:val="24"/>
              </w:rPr>
              <w:t>四级</w:t>
            </w:r>
            <w:r>
              <w:rPr>
                <w:snapToGrid w:val="0"/>
                <w:color w:val="auto"/>
                <w:kern w:val="0"/>
                <w:sz w:val="24"/>
              </w:rPr>
              <w:t>沉淀处理系统处理后</w:t>
            </w:r>
            <w:r>
              <w:rPr>
                <w:color w:val="auto"/>
                <w:sz w:val="24"/>
              </w:rPr>
              <w:t>达到《城市污水再生利用工业用水水质》（GB/T 19923-2005）中工艺与产品用水的水质标准后回用于生产中</w:t>
            </w:r>
            <w:r>
              <w:rPr>
                <w:bCs/>
                <w:color w:val="auto"/>
                <w:sz w:val="24"/>
              </w:rPr>
              <w:t>，不外排。</w:t>
            </w:r>
          </w:p>
          <w:p>
            <w:pPr>
              <w:spacing w:line="360" w:lineRule="auto"/>
              <w:ind w:firstLine="480" w:firstLineChars="200"/>
              <w:jc w:val="left"/>
              <w:rPr>
                <w:color w:val="auto"/>
                <w:sz w:val="24"/>
              </w:rPr>
            </w:pPr>
            <w:r>
              <w:rPr>
                <w:color w:val="auto"/>
                <w:sz w:val="24"/>
              </w:rPr>
              <w:t>本项目</w:t>
            </w:r>
            <w:r>
              <w:rPr>
                <w:rFonts w:hint="eastAsia"/>
                <w:color w:val="auto"/>
                <w:sz w:val="24"/>
              </w:rPr>
              <w:t>生活</w:t>
            </w:r>
            <w:r>
              <w:rPr>
                <w:color w:val="auto"/>
                <w:sz w:val="24"/>
              </w:rPr>
              <w:t>污水经</w:t>
            </w:r>
            <w:r>
              <w:rPr>
                <w:rFonts w:hint="eastAsia"/>
                <w:color w:val="auto"/>
                <w:sz w:val="24"/>
              </w:rPr>
              <w:t>地埋式一</w:t>
            </w:r>
            <w:r>
              <w:rPr>
                <w:color w:val="auto"/>
                <w:sz w:val="24"/>
              </w:rPr>
              <w:t>体化</w:t>
            </w:r>
            <w:r>
              <w:rPr>
                <w:rFonts w:hint="eastAsia"/>
                <w:color w:val="auto"/>
                <w:sz w:val="24"/>
              </w:rPr>
              <w:t>污水</w:t>
            </w:r>
            <w:r>
              <w:rPr>
                <w:color w:val="auto"/>
                <w:sz w:val="24"/>
              </w:rPr>
              <w:t>处理设施处理后达</w:t>
            </w:r>
            <w:r>
              <w:rPr>
                <w:color w:val="auto"/>
                <w:spacing w:val="-2"/>
                <w:sz w:val="24"/>
              </w:rPr>
              <w:t>到</w:t>
            </w:r>
            <w:bookmarkStart w:id="69" w:name="_Hlk536387927"/>
            <w:r>
              <w:rPr>
                <w:rFonts w:hint="eastAsia"/>
                <w:color w:val="auto"/>
                <w:spacing w:val="-2"/>
                <w:sz w:val="24"/>
              </w:rPr>
              <w:t>《城市污水再生利用</w:t>
            </w:r>
            <w:r>
              <w:rPr>
                <w:color w:val="auto"/>
                <w:spacing w:val="-2"/>
                <w:sz w:val="24"/>
              </w:rPr>
              <w:t> </w:t>
            </w:r>
            <w:r>
              <w:rPr>
                <w:rFonts w:hint="eastAsia"/>
                <w:color w:val="auto"/>
                <w:spacing w:val="-2"/>
                <w:sz w:val="24"/>
              </w:rPr>
              <w:t>城市杂用水水质》（</w:t>
            </w:r>
            <w:r>
              <w:rPr>
                <w:color w:val="auto"/>
                <w:spacing w:val="-2"/>
                <w:sz w:val="24"/>
              </w:rPr>
              <w:t>GB/T18920-2002</w:t>
            </w:r>
            <w:r>
              <w:rPr>
                <w:rFonts w:hint="eastAsia"/>
                <w:color w:val="auto"/>
                <w:spacing w:val="-2"/>
                <w:sz w:val="24"/>
              </w:rPr>
              <w:t>）中绿化用水标准要求后回用于厂区绿化灌溉</w:t>
            </w:r>
            <w:r>
              <w:rPr>
                <w:color w:val="auto"/>
                <w:spacing w:val="-43"/>
                <w:sz w:val="24"/>
              </w:rPr>
              <w:t>，</w:t>
            </w:r>
            <w:r>
              <w:rPr>
                <w:color w:val="auto"/>
                <w:sz w:val="24"/>
              </w:rPr>
              <w:t>不外排。</w:t>
            </w:r>
            <w:bookmarkEnd w:id="69"/>
            <w:r>
              <w:rPr>
                <w:color w:val="auto"/>
                <w:sz w:val="24"/>
              </w:rPr>
              <w:t>具体见下表4-4</w:t>
            </w:r>
            <w:r>
              <w:rPr>
                <w:rFonts w:hint="eastAsia"/>
                <w:color w:val="auto"/>
                <w:sz w:val="24"/>
              </w:rPr>
              <w:t>、4</w:t>
            </w:r>
            <w:r>
              <w:rPr>
                <w:color w:val="auto"/>
                <w:sz w:val="24"/>
              </w:rPr>
              <w:t>-5。</w:t>
            </w:r>
          </w:p>
          <w:p>
            <w:pPr>
              <w:jc w:val="center"/>
              <w:rPr>
                <w:b/>
                <w:bCs/>
                <w:snapToGrid w:val="0"/>
                <w:color w:val="auto"/>
                <w:kern w:val="0"/>
                <w:szCs w:val="21"/>
              </w:rPr>
            </w:pPr>
            <w:r>
              <w:rPr>
                <w:b/>
                <w:bCs/>
                <w:snapToGrid w:val="0"/>
                <w:color w:val="auto"/>
                <w:kern w:val="0"/>
                <w:szCs w:val="21"/>
              </w:rPr>
              <w:t xml:space="preserve">表4-4 </w:t>
            </w:r>
            <w:r>
              <w:rPr>
                <w:rFonts w:hint="eastAsia"/>
                <w:b/>
                <w:bCs/>
                <w:snapToGrid w:val="0"/>
                <w:color w:val="auto"/>
                <w:kern w:val="0"/>
                <w:szCs w:val="21"/>
              </w:rPr>
              <w:t>《城市污水再生利用</w:t>
            </w:r>
            <w:r>
              <w:rPr>
                <w:b/>
                <w:bCs/>
                <w:snapToGrid w:val="0"/>
                <w:color w:val="auto"/>
                <w:kern w:val="0"/>
                <w:szCs w:val="21"/>
              </w:rPr>
              <w:t> </w:t>
            </w:r>
            <w:r>
              <w:rPr>
                <w:rFonts w:hint="eastAsia"/>
                <w:b/>
                <w:bCs/>
                <w:snapToGrid w:val="0"/>
                <w:color w:val="auto"/>
                <w:kern w:val="0"/>
                <w:szCs w:val="21"/>
              </w:rPr>
              <w:t>城市杂用水水质》（</w:t>
            </w:r>
            <w:r>
              <w:rPr>
                <w:b/>
                <w:bCs/>
                <w:snapToGrid w:val="0"/>
                <w:color w:val="auto"/>
                <w:kern w:val="0"/>
                <w:szCs w:val="21"/>
              </w:rPr>
              <w:t>GB/T18920-2002</w:t>
            </w:r>
            <w:r>
              <w:rPr>
                <w:rFonts w:hint="eastAsia"/>
                <w:b/>
                <w:bCs/>
                <w:snapToGrid w:val="0"/>
                <w:color w:val="auto"/>
                <w:kern w:val="0"/>
                <w:szCs w:val="21"/>
              </w:rPr>
              <w:t>）摘录</w:t>
            </w:r>
          </w:p>
          <w:tbl>
            <w:tblPr>
              <w:tblStyle w:val="29"/>
              <w:tblW w:w="82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5"/>
              <w:gridCol w:w="3850"/>
              <w:gridCol w:w="3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b/>
                      <w:bCs/>
                      <w:snapToGrid w:val="0"/>
                      <w:color w:val="auto"/>
                      <w:kern w:val="0"/>
                      <w:szCs w:val="21"/>
                    </w:rPr>
                  </w:pPr>
                  <w:r>
                    <w:rPr>
                      <w:b/>
                      <w:bCs/>
                      <w:snapToGrid w:val="0"/>
                      <w:color w:val="auto"/>
                      <w:kern w:val="0"/>
                      <w:szCs w:val="21"/>
                    </w:rPr>
                    <w:t>序号</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b/>
                      <w:bCs/>
                      <w:snapToGrid w:val="0"/>
                      <w:color w:val="auto"/>
                      <w:kern w:val="0"/>
                      <w:szCs w:val="21"/>
                    </w:rPr>
                  </w:pPr>
                  <w:r>
                    <w:rPr>
                      <w:b/>
                      <w:bCs/>
                      <w:snapToGrid w:val="0"/>
                      <w:color w:val="auto"/>
                      <w:kern w:val="0"/>
                      <w:szCs w:val="21"/>
                    </w:rPr>
                    <w:t>项目</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b/>
                      <w:bCs/>
                      <w:snapToGrid w:val="0"/>
                      <w:color w:val="auto"/>
                      <w:kern w:val="0"/>
                      <w:szCs w:val="21"/>
                    </w:rPr>
                  </w:pPr>
                  <w:r>
                    <w:rPr>
                      <w:rFonts w:hint="eastAsia"/>
                      <w:b/>
                      <w:bCs/>
                      <w:snapToGrid w:val="0"/>
                      <w:color w:val="auto"/>
                      <w:kern w:val="0"/>
                      <w:szCs w:val="21"/>
                    </w:rPr>
                    <w:t>城市绿化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1</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pH</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6.0-9.0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2</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rFonts w:hint="eastAsia"/>
                      <w:snapToGrid w:val="0"/>
                      <w:color w:val="auto"/>
                      <w:kern w:val="0"/>
                      <w:szCs w:val="21"/>
                    </w:rPr>
                    <w:t>氨氮</w:t>
                  </w:r>
                  <w:r>
                    <w:rPr>
                      <w:color w:val="auto"/>
                      <w:szCs w:val="21"/>
                    </w:rPr>
                    <w:t>（mg/L)</w:t>
                  </w:r>
                  <w:r>
                    <w:rPr>
                      <w:snapToGrid w:val="0"/>
                      <w:color w:val="auto"/>
                      <w:kern w:val="0"/>
                      <w:szCs w:val="21"/>
                    </w:rPr>
                    <w:t>≤</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3</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rFonts w:hint="eastAsia"/>
                      <w:color w:val="auto"/>
                      <w:szCs w:val="21"/>
                    </w:rPr>
                    <w:t>浊度/</w:t>
                  </w:r>
                  <w:r>
                    <w:rPr>
                      <w:color w:val="auto"/>
                      <w:szCs w:val="21"/>
                    </w:rPr>
                    <w:t>NTU</w:t>
                  </w:r>
                  <w:r>
                    <w:rPr>
                      <w:snapToGrid w:val="0"/>
                      <w:color w:val="auto"/>
                      <w:kern w:val="0"/>
                      <w:szCs w:val="21"/>
                    </w:rPr>
                    <w:t>≤</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color w:val="auto"/>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4</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rPr>
                      <w:snapToGrid w:val="0"/>
                      <w:color w:val="auto"/>
                      <w:kern w:val="0"/>
                      <w:szCs w:val="21"/>
                    </w:rPr>
                  </w:pPr>
                  <w:r>
                    <w:rPr>
                      <w:color w:val="auto"/>
                      <w:szCs w:val="21"/>
                    </w:rPr>
                    <w:t>阴离子表面活性剂（mg/L)　　　　　≤</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5</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五日生化需氧量</w:t>
                  </w:r>
                  <w:r>
                    <w:rPr>
                      <w:color w:val="auto"/>
                      <w:szCs w:val="21"/>
                    </w:rPr>
                    <w:t>（BOD</w:t>
                  </w:r>
                  <w:r>
                    <w:rPr>
                      <w:color w:val="auto"/>
                      <w:szCs w:val="21"/>
                      <w:vertAlign w:val="subscript"/>
                    </w:rPr>
                    <w:t>5</w:t>
                  </w:r>
                  <w:r>
                    <w:rPr>
                      <w:color w:val="auto"/>
                      <w:szCs w:val="21"/>
                    </w:rPr>
                    <w:t>）/（mg/L)≤</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95"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7</w:t>
                  </w:r>
                </w:p>
              </w:tc>
              <w:tc>
                <w:tcPr>
                  <w:tcW w:w="385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rFonts w:hint="eastAsia"/>
                      <w:snapToGrid w:val="0"/>
                      <w:color w:val="auto"/>
                      <w:kern w:val="0"/>
                      <w:szCs w:val="21"/>
                    </w:rPr>
                    <w:t>总</w:t>
                  </w:r>
                  <w:r>
                    <w:rPr>
                      <w:snapToGrid w:val="0"/>
                      <w:color w:val="auto"/>
                      <w:kern w:val="0"/>
                      <w:szCs w:val="21"/>
                    </w:rPr>
                    <w:t>大肠菌群</w:t>
                  </w:r>
                  <w:r>
                    <w:rPr>
                      <w:rFonts w:hint="eastAsia"/>
                      <w:snapToGrid w:val="0"/>
                      <w:color w:val="auto"/>
                      <w:kern w:val="0"/>
                      <w:szCs w:val="21"/>
                    </w:rPr>
                    <w:t>（</w:t>
                  </w:r>
                  <w:r>
                    <w:rPr>
                      <w:snapToGrid w:val="0"/>
                      <w:color w:val="auto"/>
                      <w:kern w:val="0"/>
                      <w:szCs w:val="21"/>
                    </w:rPr>
                    <w:t>个/</w:t>
                  </w:r>
                  <w:r>
                    <w:rPr>
                      <w:color w:val="auto"/>
                      <w:szCs w:val="21"/>
                    </w:rPr>
                    <w:t xml:space="preserve"> L）</w:t>
                  </w:r>
                  <w:r>
                    <w:rPr>
                      <w:snapToGrid w:val="0"/>
                      <w:color w:val="auto"/>
                      <w:kern w:val="0"/>
                      <w:szCs w:val="21"/>
                    </w:rPr>
                    <w:t>　　≤</w:t>
                  </w:r>
                </w:p>
              </w:tc>
              <w:tc>
                <w:tcPr>
                  <w:tcW w:w="3582"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snapToGrid w:val="0"/>
                      <w:color w:val="auto"/>
                      <w:kern w:val="0"/>
                      <w:szCs w:val="21"/>
                    </w:rPr>
                  </w:pPr>
                  <w:r>
                    <w:rPr>
                      <w:snapToGrid w:val="0"/>
                      <w:color w:val="auto"/>
                      <w:kern w:val="0"/>
                      <w:szCs w:val="21"/>
                    </w:rPr>
                    <w:t>3</w:t>
                  </w:r>
                </w:p>
              </w:tc>
            </w:tr>
          </w:tbl>
          <w:p>
            <w:pPr>
              <w:jc w:val="center"/>
              <w:rPr>
                <w:b/>
                <w:bCs/>
                <w:snapToGrid w:val="0"/>
                <w:color w:val="auto"/>
                <w:kern w:val="0"/>
                <w:szCs w:val="21"/>
              </w:rPr>
            </w:pPr>
          </w:p>
          <w:p>
            <w:pPr>
              <w:pStyle w:val="2"/>
              <w:ind w:firstLine="527" w:firstLineChars="250"/>
              <w:rPr>
                <w:b/>
                <w:bCs/>
                <w:snapToGrid w:val="0"/>
                <w:color w:val="auto"/>
                <w:kern w:val="0"/>
                <w:szCs w:val="21"/>
              </w:rPr>
            </w:pPr>
            <w:r>
              <w:rPr>
                <w:b/>
                <w:bCs/>
                <w:snapToGrid w:val="0"/>
                <w:color w:val="auto"/>
                <w:kern w:val="0"/>
                <w:szCs w:val="21"/>
              </w:rPr>
              <w:t>表4-5《城市污水再生利用工业用水水质》（GB/T 19923-2005）单位：mg/L，pH除外</w:t>
            </w:r>
          </w:p>
          <w:tbl>
            <w:tblPr>
              <w:tblStyle w:val="2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999"/>
              <w:gridCol w:w="1134"/>
              <w:gridCol w:w="1280"/>
              <w:gridCol w:w="1471"/>
              <w:gridCol w:w="1472"/>
              <w:gridCol w:w="14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99" w:type="dxa"/>
                  <w:tcBorders>
                    <w:top w:val="single" w:color="000000" w:sz="4" w:space="0"/>
                    <w:left w:val="single" w:color="000000" w:sz="4" w:space="0"/>
                    <w:bottom w:val="single" w:color="000000" w:sz="4" w:space="0"/>
                    <w:right w:val="single" w:color="000000" w:sz="4" w:space="0"/>
                  </w:tcBorders>
                </w:tcPr>
                <w:p>
                  <w:pPr>
                    <w:pStyle w:val="2"/>
                    <w:ind w:firstLine="0" w:firstLineChars="0"/>
                    <w:jc w:val="center"/>
                    <w:rPr>
                      <w:b/>
                      <w:bCs/>
                      <w:snapToGrid w:val="0"/>
                      <w:color w:val="auto"/>
                      <w:kern w:val="0"/>
                      <w:szCs w:val="21"/>
                    </w:rPr>
                  </w:pPr>
                  <w:r>
                    <w:rPr>
                      <w:b/>
                      <w:bCs/>
                      <w:snapToGrid w:val="0"/>
                      <w:color w:val="auto"/>
                      <w:kern w:val="0"/>
                      <w:szCs w:val="21"/>
                    </w:rPr>
                    <w:t>执行标准</w:t>
                  </w:r>
                </w:p>
              </w:tc>
              <w:tc>
                <w:tcPr>
                  <w:tcW w:w="1134"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pH</w:t>
                  </w:r>
                </w:p>
              </w:tc>
              <w:tc>
                <w:tcPr>
                  <w:tcW w:w="1280"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浊度/NTU</w:t>
                  </w:r>
                </w:p>
              </w:tc>
              <w:tc>
                <w:tcPr>
                  <w:tcW w:w="1471"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色度/度</w:t>
                  </w:r>
                </w:p>
              </w:tc>
              <w:tc>
                <w:tcPr>
                  <w:tcW w:w="1472"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NH</w:t>
                  </w:r>
                  <w:r>
                    <w:rPr>
                      <w:snapToGrid w:val="0"/>
                      <w:color w:val="auto"/>
                      <w:kern w:val="0"/>
                      <w:szCs w:val="21"/>
                      <w:vertAlign w:val="subscript"/>
                    </w:rPr>
                    <w:t>3</w:t>
                  </w:r>
                  <w:r>
                    <w:rPr>
                      <w:snapToGrid w:val="0"/>
                      <w:color w:val="auto"/>
                      <w:kern w:val="0"/>
                      <w:szCs w:val="21"/>
                    </w:rPr>
                    <w:t>-N</w:t>
                  </w:r>
                </w:p>
              </w:tc>
              <w:tc>
                <w:tcPr>
                  <w:tcW w:w="1472"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BOD</w:t>
                  </w:r>
                  <w:r>
                    <w:rPr>
                      <w:snapToGrid w:val="0"/>
                      <w:color w:val="auto"/>
                      <w:kern w:val="0"/>
                      <w:szCs w:val="21"/>
                      <w:vertAlign w:val="subscript"/>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99" w:type="dxa"/>
                  <w:tcBorders>
                    <w:top w:val="single" w:color="000000" w:sz="4" w:space="0"/>
                    <w:left w:val="single" w:color="000000" w:sz="4" w:space="0"/>
                    <w:bottom w:val="single" w:color="000000" w:sz="4" w:space="0"/>
                    <w:right w:val="single" w:color="000000" w:sz="4" w:space="0"/>
                  </w:tcBorders>
                </w:tcPr>
                <w:p>
                  <w:pPr>
                    <w:pStyle w:val="2"/>
                    <w:ind w:firstLine="0" w:firstLineChars="0"/>
                    <w:rPr>
                      <w:b/>
                      <w:bCs/>
                      <w:snapToGrid w:val="0"/>
                      <w:color w:val="auto"/>
                      <w:kern w:val="0"/>
                      <w:szCs w:val="21"/>
                    </w:rPr>
                  </w:pPr>
                  <w:r>
                    <w:rPr>
                      <w:b/>
                      <w:bCs/>
                      <w:snapToGrid w:val="0"/>
                      <w:color w:val="auto"/>
                      <w:kern w:val="0"/>
                      <w:szCs w:val="21"/>
                    </w:rPr>
                    <w:t>工艺与产品用水</w:t>
                  </w:r>
                </w:p>
              </w:tc>
              <w:tc>
                <w:tcPr>
                  <w:tcW w:w="1134"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6.5-8.5</w:t>
                  </w:r>
                </w:p>
              </w:tc>
              <w:tc>
                <w:tcPr>
                  <w:tcW w:w="1280"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≤5</w:t>
                  </w:r>
                </w:p>
              </w:tc>
              <w:tc>
                <w:tcPr>
                  <w:tcW w:w="1471"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≤30</w:t>
                  </w:r>
                </w:p>
              </w:tc>
              <w:tc>
                <w:tcPr>
                  <w:tcW w:w="1472"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≤10</w:t>
                  </w:r>
                </w:p>
              </w:tc>
              <w:tc>
                <w:tcPr>
                  <w:tcW w:w="1472" w:type="dxa"/>
                  <w:tcBorders>
                    <w:top w:val="single" w:color="000000" w:sz="4" w:space="0"/>
                    <w:left w:val="single" w:color="000000" w:sz="4" w:space="0"/>
                    <w:bottom w:val="single" w:color="000000" w:sz="4" w:space="0"/>
                    <w:right w:val="single" w:color="000000" w:sz="4" w:space="0"/>
                  </w:tcBorders>
                </w:tcPr>
                <w:p>
                  <w:pPr>
                    <w:adjustRightInd w:val="0"/>
                    <w:snapToGrid w:val="0"/>
                    <w:jc w:val="center"/>
                    <w:rPr>
                      <w:snapToGrid w:val="0"/>
                      <w:color w:val="auto"/>
                      <w:kern w:val="0"/>
                      <w:szCs w:val="21"/>
                    </w:rPr>
                  </w:pPr>
                  <w:r>
                    <w:rPr>
                      <w:snapToGrid w:val="0"/>
                      <w:color w:val="auto"/>
                      <w:kern w:val="0"/>
                      <w:szCs w:val="21"/>
                    </w:rPr>
                    <w:t>≤10</w:t>
                  </w:r>
                </w:p>
              </w:tc>
            </w:tr>
          </w:tbl>
          <w:p>
            <w:pPr>
              <w:spacing w:before="120" w:beforeLines="50" w:line="360" w:lineRule="auto"/>
              <w:ind w:firstLine="482" w:firstLineChars="200"/>
              <w:rPr>
                <w:b/>
                <w:color w:val="auto"/>
                <w:sz w:val="24"/>
              </w:rPr>
            </w:pPr>
            <w:r>
              <w:rPr>
                <w:b/>
                <w:color w:val="auto"/>
                <w:sz w:val="24"/>
              </w:rPr>
              <w:t>2、大气污染物排放标准：</w:t>
            </w:r>
          </w:p>
          <w:p>
            <w:pPr>
              <w:spacing w:line="360" w:lineRule="auto"/>
              <w:ind w:firstLine="480" w:firstLineChars="200"/>
              <w:rPr>
                <w:color w:val="auto"/>
                <w:sz w:val="24"/>
              </w:rPr>
            </w:pPr>
            <w:r>
              <w:rPr>
                <w:color w:val="auto"/>
                <w:sz w:val="24"/>
              </w:rPr>
              <w:t>根据《广东省环境保护厅关于钢铁、石化、水泥行业执行大气污染物特别排放限值的公告》，自2018年9月1日起，钢铁、石化、水泥行业新受理环评的建设项目执行大气污染物特别排放限值。本项目属于《水泥工业大气污染物排放标准》适用范围中的水泥制品生产，项目混凝土生产线产生的粉尘废气（颗粒物）执行《水泥工业大气污染物排放标准》（GB4915-2013）表2大气污染物特别排放限值及表3大气污染物无组织排放限值；机制砂生产线产生的粉尘执行广东省地方标准《大气污染物排放限值》（DB44/27-2001）第二时段二级标准。</w:t>
            </w:r>
            <w:r>
              <w:rPr>
                <w:rFonts w:hint="eastAsia"/>
                <w:color w:val="auto"/>
                <w:sz w:val="24"/>
              </w:rPr>
              <w:t>　</w:t>
            </w:r>
          </w:p>
          <w:p>
            <w:pPr>
              <w:spacing w:line="360" w:lineRule="auto"/>
              <w:ind w:firstLine="482" w:firstLineChars="200"/>
              <w:jc w:val="center"/>
              <w:rPr>
                <w:color w:val="auto"/>
                <w:sz w:val="24"/>
              </w:rPr>
            </w:pPr>
            <w:r>
              <w:rPr>
                <w:b/>
                <w:bCs/>
                <w:color w:val="auto"/>
                <w:sz w:val="24"/>
              </w:rPr>
              <w:t>表4-</w:t>
            </w:r>
            <w:r>
              <w:rPr>
                <w:rFonts w:hint="eastAsia"/>
                <w:b/>
                <w:bCs/>
                <w:color w:val="auto"/>
                <w:sz w:val="24"/>
              </w:rPr>
              <w:t>6</w:t>
            </w:r>
            <w:r>
              <w:rPr>
                <w:b/>
                <w:bCs/>
                <w:color w:val="auto"/>
                <w:sz w:val="24"/>
              </w:rPr>
              <w:t>《水泥工业大气污染物排放标准》（GB 4915-2013）（表2摘录）</w:t>
            </w:r>
          </w:p>
          <w:tbl>
            <w:tblPr>
              <w:tblStyle w:val="29"/>
              <w:tblW w:w="8425"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2929"/>
              <w:gridCol w:w="2953"/>
              <w:gridCol w:w="2543"/>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929"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生产过程</w:t>
                  </w:r>
                </w:p>
              </w:tc>
              <w:tc>
                <w:tcPr>
                  <w:tcW w:w="2953"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生产设备</w:t>
                  </w:r>
                </w:p>
              </w:tc>
              <w:tc>
                <w:tcPr>
                  <w:tcW w:w="2543"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颗粒物排放限值/(mg/m</w:t>
                  </w:r>
                  <w:r>
                    <w:rPr>
                      <w:b/>
                      <w:color w:val="auto"/>
                      <w:szCs w:val="21"/>
                      <w:vertAlign w:val="superscript"/>
                    </w:rPr>
                    <w:t>3</w:t>
                  </w:r>
                  <w:r>
                    <w:rPr>
                      <w:b/>
                      <w:color w:val="auto"/>
                      <w:szCs w:val="21"/>
                    </w:rPr>
                    <w:t>)</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2929" w:type="dxa"/>
                  <w:tcBorders>
                    <w:top w:val="single" w:color="auto" w:sz="2" w:space="0"/>
                    <w:left w:val="single" w:color="auto" w:sz="2" w:space="0"/>
                    <w:bottom w:val="single" w:color="auto" w:sz="2" w:space="0"/>
                    <w:right w:val="single" w:color="auto" w:sz="2" w:space="0"/>
                  </w:tcBorders>
                  <w:vAlign w:val="center"/>
                </w:tcPr>
                <w:p>
                  <w:pPr>
                    <w:jc w:val="center"/>
                    <w:rPr>
                      <w:bCs/>
                      <w:color w:val="auto"/>
                      <w:szCs w:val="21"/>
                    </w:rPr>
                  </w:pPr>
                  <w:r>
                    <w:rPr>
                      <w:bCs/>
                      <w:color w:val="auto"/>
                      <w:szCs w:val="21"/>
                    </w:rPr>
                    <w:t>散装水泥中转站及水泥制品生产</w:t>
                  </w:r>
                </w:p>
              </w:tc>
              <w:tc>
                <w:tcPr>
                  <w:tcW w:w="2953" w:type="dxa"/>
                  <w:tcBorders>
                    <w:top w:val="single" w:color="auto" w:sz="2" w:space="0"/>
                    <w:left w:val="single" w:color="auto" w:sz="2" w:space="0"/>
                    <w:bottom w:val="single" w:color="auto" w:sz="2" w:space="0"/>
                    <w:right w:val="single" w:color="auto" w:sz="2" w:space="0"/>
                  </w:tcBorders>
                  <w:vAlign w:val="center"/>
                </w:tcPr>
                <w:p>
                  <w:pPr>
                    <w:jc w:val="center"/>
                    <w:rPr>
                      <w:color w:val="auto"/>
                      <w:szCs w:val="21"/>
                    </w:rPr>
                  </w:pPr>
                  <w:r>
                    <w:rPr>
                      <w:color w:val="auto"/>
                      <w:szCs w:val="21"/>
                    </w:rPr>
                    <w:t>水泥仓及其他通风设备</w:t>
                  </w:r>
                </w:p>
              </w:tc>
              <w:tc>
                <w:tcPr>
                  <w:tcW w:w="2543" w:type="dxa"/>
                  <w:tcBorders>
                    <w:top w:val="single" w:color="auto" w:sz="2" w:space="0"/>
                    <w:left w:val="single" w:color="auto" w:sz="2" w:space="0"/>
                    <w:bottom w:val="single" w:color="auto" w:sz="2" w:space="0"/>
                    <w:right w:val="single" w:color="auto" w:sz="2" w:space="0"/>
                  </w:tcBorders>
                  <w:vAlign w:val="center"/>
                </w:tcPr>
                <w:p>
                  <w:pPr>
                    <w:jc w:val="center"/>
                    <w:rPr>
                      <w:bCs/>
                      <w:color w:val="auto"/>
                      <w:szCs w:val="21"/>
                    </w:rPr>
                  </w:pPr>
                  <w:r>
                    <w:rPr>
                      <w:color w:val="auto"/>
                      <w:szCs w:val="21"/>
                    </w:rPr>
                    <w:t>10</w:t>
                  </w:r>
                </w:p>
              </w:tc>
            </w:tr>
          </w:tbl>
          <w:p>
            <w:pPr>
              <w:jc w:val="center"/>
              <w:rPr>
                <w:b/>
                <w:bCs/>
                <w:color w:val="auto"/>
                <w:sz w:val="24"/>
              </w:rPr>
            </w:pPr>
          </w:p>
          <w:p>
            <w:pPr>
              <w:jc w:val="center"/>
              <w:rPr>
                <w:b/>
                <w:bCs/>
                <w:color w:val="auto"/>
                <w:sz w:val="24"/>
              </w:rPr>
            </w:pPr>
            <w:r>
              <w:rPr>
                <w:b/>
                <w:bCs/>
                <w:color w:val="auto"/>
                <w:sz w:val="24"/>
              </w:rPr>
              <w:t>表4-7《水泥工业大气污染物排放标准》（GB 4915-2013）（表3摘录）</w:t>
            </w:r>
          </w:p>
          <w:tbl>
            <w:tblPr>
              <w:tblStyle w:val="29"/>
              <w:tblW w:w="8661"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108" w:type="dxa"/>
                <w:bottom w:w="0" w:type="dxa"/>
                <w:right w:w="108" w:type="dxa"/>
              </w:tblCellMar>
            </w:tblPr>
            <w:tblGrid>
              <w:gridCol w:w="1913"/>
              <w:gridCol w:w="1984"/>
              <w:gridCol w:w="2552"/>
              <w:gridCol w:w="2212"/>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96" w:hRule="atLeast"/>
                <w:jc w:val="center"/>
              </w:trPr>
              <w:tc>
                <w:tcPr>
                  <w:tcW w:w="1913"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污染物</w:t>
                  </w:r>
                </w:p>
              </w:tc>
              <w:tc>
                <w:tcPr>
                  <w:tcW w:w="1984"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限值/(mg/m</w:t>
                  </w:r>
                  <w:r>
                    <w:rPr>
                      <w:b/>
                      <w:color w:val="auto"/>
                      <w:szCs w:val="21"/>
                      <w:vertAlign w:val="superscript"/>
                    </w:rPr>
                    <w:t>3</w:t>
                  </w:r>
                  <w:r>
                    <w:rPr>
                      <w:b/>
                      <w:color w:val="auto"/>
                      <w:szCs w:val="21"/>
                    </w:rPr>
                    <w:t>)</w:t>
                  </w:r>
                </w:p>
              </w:tc>
              <w:tc>
                <w:tcPr>
                  <w:tcW w:w="2552"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限制含义</w:t>
                  </w:r>
                </w:p>
              </w:tc>
              <w:tc>
                <w:tcPr>
                  <w:tcW w:w="2212" w:type="dxa"/>
                  <w:tcBorders>
                    <w:top w:val="single" w:color="auto" w:sz="2" w:space="0"/>
                    <w:left w:val="single" w:color="auto" w:sz="2" w:space="0"/>
                    <w:bottom w:val="single" w:color="auto" w:sz="2" w:space="0"/>
                    <w:right w:val="single" w:color="auto" w:sz="2" w:space="0"/>
                  </w:tcBorders>
                  <w:vAlign w:val="center"/>
                </w:tcPr>
                <w:p>
                  <w:pPr>
                    <w:jc w:val="center"/>
                    <w:rPr>
                      <w:b/>
                      <w:color w:val="auto"/>
                      <w:szCs w:val="21"/>
                    </w:rPr>
                  </w:pPr>
                  <w:r>
                    <w:rPr>
                      <w:b/>
                      <w:color w:val="auto"/>
                      <w:szCs w:val="21"/>
                    </w:rPr>
                    <w:t>无组织排放监控位置</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96" w:hRule="atLeast"/>
                <w:jc w:val="center"/>
              </w:trPr>
              <w:tc>
                <w:tcPr>
                  <w:tcW w:w="1913" w:type="dxa"/>
                  <w:tcBorders>
                    <w:top w:val="single" w:color="auto" w:sz="2" w:space="0"/>
                    <w:left w:val="single" w:color="auto" w:sz="2" w:space="0"/>
                    <w:bottom w:val="single" w:color="auto" w:sz="2" w:space="0"/>
                    <w:right w:val="single" w:color="auto" w:sz="2" w:space="0"/>
                  </w:tcBorders>
                  <w:vAlign w:val="center"/>
                </w:tcPr>
                <w:p>
                  <w:pPr>
                    <w:jc w:val="center"/>
                    <w:rPr>
                      <w:bCs/>
                      <w:color w:val="auto"/>
                      <w:szCs w:val="21"/>
                    </w:rPr>
                  </w:pPr>
                  <w:r>
                    <w:rPr>
                      <w:bCs/>
                      <w:color w:val="auto"/>
                      <w:szCs w:val="21"/>
                    </w:rPr>
                    <w:t>颗粒物</w:t>
                  </w:r>
                </w:p>
              </w:tc>
              <w:tc>
                <w:tcPr>
                  <w:tcW w:w="1984" w:type="dxa"/>
                  <w:tcBorders>
                    <w:top w:val="single" w:color="auto" w:sz="2" w:space="0"/>
                    <w:left w:val="single" w:color="auto" w:sz="2" w:space="0"/>
                    <w:bottom w:val="single" w:color="auto" w:sz="2" w:space="0"/>
                    <w:right w:val="single" w:color="auto" w:sz="2" w:space="0"/>
                  </w:tcBorders>
                  <w:vAlign w:val="center"/>
                </w:tcPr>
                <w:p>
                  <w:pPr>
                    <w:jc w:val="center"/>
                    <w:rPr>
                      <w:color w:val="auto"/>
                      <w:szCs w:val="21"/>
                    </w:rPr>
                  </w:pPr>
                  <w:r>
                    <w:rPr>
                      <w:color w:val="auto"/>
                      <w:szCs w:val="21"/>
                    </w:rPr>
                    <w:t>0.5</w:t>
                  </w:r>
                </w:p>
              </w:tc>
              <w:tc>
                <w:tcPr>
                  <w:tcW w:w="2552" w:type="dxa"/>
                  <w:tcBorders>
                    <w:top w:val="single" w:color="auto" w:sz="2" w:space="0"/>
                    <w:left w:val="single" w:color="auto" w:sz="2" w:space="0"/>
                    <w:bottom w:val="single" w:color="auto" w:sz="2" w:space="0"/>
                    <w:right w:val="single" w:color="auto" w:sz="2" w:space="0"/>
                  </w:tcBorders>
                  <w:vAlign w:val="center"/>
                </w:tcPr>
                <w:p>
                  <w:pPr>
                    <w:jc w:val="center"/>
                    <w:rPr>
                      <w:color w:val="auto"/>
                      <w:szCs w:val="21"/>
                    </w:rPr>
                  </w:pPr>
                  <w:r>
                    <w:rPr>
                      <w:color w:val="auto"/>
                      <w:szCs w:val="21"/>
                    </w:rPr>
                    <w:t>监控点与参考的总悬浮颗粒（TSP）1小时浓度差值</w:t>
                  </w:r>
                </w:p>
              </w:tc>
              <w:tc>
                <w:tcPr>
                  <w:tcW w:w="2212" w:type="dxa"/>
                  <w:tcBorders>
                    <w:top w:val="single" w:color="auto" w:sz="2" w:space="0"/>
                    <w:left w:val="single" w:color="auto" w:sz="2" w:space="0"/>
                    <w:bottom w:val="single" w:color="auto" w:sz="2" w:space="0"/>
                    <w:right w:val="single" w:color="auto" w:sz="2" w:space="0"/>
                  </w:tcBorders>
                  <w:vAlign w:val="center"/>
                </w:tcPr>
                <w:p>
                  <w:pPr>
                    <w:jc w:val="center"/>
                    <w:rPr>
                      <w:bCs/>
                      <w:color w:val="auto"/>
                      <w:szCs w:val="21"/>
                    </w:rPr>
                  </w:pPr>
                  <w:r>
                    <w:rPr>
                      <w:color w:val="auto"/>
                      <w:szCs w:val="21"/>
                    </w:rPr>
                    <w:t>厂界外20m处上风向设参考点，下风向设监控点</w:t>
                  </w:r>
                </w:p>
              </w:tc>
            </w:tr>
          </w:tbl>
          <w:p>
            <w:pPr>
              <w:spacing w:before="120" w:beforeLines="50" w:line="360" w:lineRule="auto"/>
              <w:jc w:val="center"/>
              <w:rPr>
                <w:color w:val="auto"/>
                <w:sz w:val="24"/>
              </w:rPr>
            </w:pPr>
            <w:r>
              <w:rPr>
                <w:b/>
                <w:bCs/>
                <w:color w:val="auto"/>
                <w:sz w:val="24"/>
              </w:rPr>
              <w:t>表4-8《大气污染物排放限值》（DB44/27-2001</w:t>
            </w:r>
            <w:r>
              <w:rPr>
                <w:color w:val="auto"/>
                <w:sz w:val="24"/>
              </w:rPr>
              <w:t>）</w:t>
            </w:r>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29"/>
              <w:gridCol w:w="1560"/>
              <w:gridCol w:w="1462"/>
              <w:gridCol w:w="1940"/>
              <w:gridCol w:w="1321"/>
              <w:gridCol w:w="88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29" w:type="dxa"/>
                  <w:vMerge w:val="restart"/>
                  <w:shd w:val="clear" w:color="auto" w:fill="auto"/>
                </w:tcPr>
                <w:p>
                  <w:pPr>
                    <w:rPr>
                      <w:color w:val="auto"/>
                      <w:kern w:val="0"/>
                      <w:szCs w:val="21"/>
                    </w:rPr>
                  </w:pPr>
                  <w:r>
                    <w:rPr>
                      <w:color w:val="auto"/>
                      <w:kern w:val="0"/>
                      <w:szCs w:val="21"/>
                    </w:rPr>
                    <w:t>污染物</w:t>
                  </w:r>
                </w:p>
              </w:tc>
              <w:tc>
                <w:tcPr>
                  <w:tcW w:w="1560" w:type="dxa"/>
                  <w:vMerge w:val="restart"/>
                  <w:shd w:val="clear" w:color="auto" w:fill="auto"/>
                </w:tcPr>
                <w:p>
                  <w:pPr>
                    <w:rPr>
                      <w:color w:val="auto"/>
                      <w:kern w:val="0"/>
                      <w:szCs w:val="21"/>
                    </w:rPr>
                  </w:pPr>
                  <w:r>
                    <w:rPr>
                      <w:color w:val="auto"/>
                      <w:kern w:val="0"/>
                      <w:szCs w:val="21"/>
                    </w:rPr>
                    <w:t>最高允许排放浓度(mg/m</w:t>
                  </w:r>
                  <w:r>
                    <w:rPr>
                      <w:color w:val="auto"/>
                      <w:kern w:val="0"/>
                      <w:szCs w:val="21"/>
                      <w:vertAlign w:val="superscript"/>
                    </w:rPr>
                    <w:t>3</w:t>
                  </w:r>
                  <w:r>
                    <w:rPr>
                      <w:color w:val="auto"/>
                      <w:kern w:val="0"/>
                      <w:szCs w:val="21"/>
                    </w:rPr>
                    <w:t>)</w:t>
                  </w:r>
                </w:p>
              </w:tc>
              <w:tc>
                <w:tcPr>
                  <w:tcW w:w="3402" w:type="dxa"/>
                  <w:gridSpan w:val="2"/>
                  <w:shd w:val="clear" w:color="auto" w:fill="auto"/>
                </w:tcPr>
                <w:p>
                  <w:pPr>
                    <w:rPr>
                      <w:color w:val="auto"/>
                      <w:kern w:val="0"/>
                      <w:szCs w:val="21"/>
                    </w:rPr>
                  </w:pPr>
                  <w:r>
                    <w:rPr>
                      <w:color w:val="auto"/>
                      <w:kern w:val="0"/>
                      <w:szCs w:val="21"/>
                    </w:rPr>
                    <w:t>最高允许排放速率（kg/h）</w:t>
                  </w:r>
                </w:p>
              </w:tc>
              <w:tc>
                <w:tcPr>
                  <w:tcW w:w="2205" w:type="dxa"/>
                  <w:gridSpan w:val="2"/>
                  <w:shd w:val="clear" w:color="auto" w:fill="auto"/>
                </w:tcPr>
                <w:p>
                  <w:pPr>
                    <w:rPr>
                      <w:color w:val="auto"/>
                      <w:kern w:val="0"/>
                      <w:szCs w:val="21"/>
                    </w:rPr>
                  </w:pPr>
                  <w:r>
                    <w:rPr>
                      <w:color w:val="auto"/>
                      <w:kern w:val="0"/>
                      <w:szCs w:val="21"/>
                    </w:rPr>
                    <w:t>无组织排放监控限值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78" w:hRule="atLeast"/>
                <w:jc w:val="center"/>
              </w:trPr>
              <w:tc>
                <w:tcPr>
                  <w:tcW w:w="1129" w:type="dxa"/>
                  <w:vMerge w:val="continue"/>
                  <w:shd w:val="clear" w:color="auto" w:fill="auto"/>
                </w:tcPr>
                <w:p>
                  <w:pPr>
                    <w:rPr>
                      <w:color w:val="auto"/>
                      <w:kern w:val="0"/>
                      <w:szCs w:val="21"/>
                    </w:rPr>
                  </w:pPr>
                </w:p>
              </w:tc>
              <w:tc>
                <w:tcPr>
                  <w:tcW w:w="1560" w:type="dxa"/>
                  <w:vMerge w:val="continue"/>
                  <w:shd w:val="clear" w:color="auto" w:fill="auto"/>
                </w:tcPr>
                <w:p>
                  <w:pPr>
                    <w:rPr>
                      <w:color w:val="auto"/>
                      <w:kern w:val="0"/>
                      <w:szCs w:val="21"/>
                    </w:rPr>
                  </w:pPr>
                </w:p>
              </w:tc>
              <w:tc>
                <w:tcPr>
                  <w:tcW w:w="1462" w:type="dxa"/>
                  <w:shd w:val="clear" w:color="auto" w:fill="auto"/>
                </w:tcPr>
                <w:p>
                  <w:pPr>
                    <w:rPr>
                      <w:color w:val="auto"/>
                      <w:kern w:val="0"/>
                      <w:szCs w:val="21"/>
                    </w:rPr>
                  </w:pPr>
                  <w:r>
                    <w:rPr>
                      <w:color w:val="auto"/>
                      <w:kern w:val="0"/>
                      <w:szCs w:val="21"/>
                    </w:rPr>
                    <w:t>排气筒高度m</w:t>
                  </w:r>
                </w:p>
              </w:tc>
              <w:tc>
                <w:tcPr>
                  <w:tcW w:w="1940" w:type="dxa"/>
                  <w:shd w:val="clear" w:color="auto" w:fill="auto"/>
                </w:tcPr>
                <w:p>
                  <w:pPr>
                    <w:rPr>
                      <w:color w:val="auto"/>
                      <w:kern w:val="0"/>
                      <w:szCs w:val="21"/>
                    </w:rPr>
                  </w:pPr>
                  <w:r>
                    <w:rPr>
                      <w:color w:val="auto"/>
                      <w:kern w:val="0"/>
                      <w:szCs w:val="21"/>
                    </w:rPr>
                    <w:t>第二时段二级标准</w:t>
                  </w:r>
                </w:p>
              </w:tc>
              <w:tc>
                <w:tcPr>
                  <w:tcW w:w="1321" w:type="dxa"/>
                  <w:tcBorders>
                    <w:right w:val="single" w:color="auto" w:sz="4" w:space="0"/>
                  </w:tcBorders>
                  <w:shd w:val="clear" w:color="auto" w:fill="auto"/>
                  <w:vAlign w:val="center"/>
                </w:tcPr>
                <w:p>
                  <w:pPr>
                    <w:jc w:val="center"/>
                    <w:rPr>
                      <w:color w:val="auto"/>
                      <w:kern w:val="0"/>
                      <w:szCs w:val="21"/>
                    </w:rPr>
                  </w:pPr>
                  <w:r>
                    <w:rPr>
                      <w:color w:val="auto"/>
                      <w:kern w:val="0"/>
                      <w:szCs w:val="21"/>
                    </w:rPr>
                    <w:t>监控点</w:t>
                  </w:r>
                </w:p>
              </w:tc>
              <w:tc>
                <w:tcPr>
                  <w:tcW w:w="884" w:type="dxa"/>
                  <w:tcBorders>
                    <w:right w:val="single" w:color="auto" w:sz="4" w:space="0"/>
                  </w:tcBorders>
                  <w:shd w:val="clear" w:color="auto" w:fill="auto"/>
                  <w:vAlign w:val="center"/>
                </w:tcPr>
                <w:p>
                  <w:pPr>
                    <w:jc w:val="center"/>
                    <w:rPr>
                      <w:color w:val="auto"/>
                      <w:kern w:val="0"/>
                      <w:szCs w:val="21"/>
                    </w:rPr>
                  </w:pPr>
                  <w:r>
                    <w:rPr>
                      <w:color w:val="auto"/>
                      <w:kern w:val="0"/>
                      <w:szCs w:val="21"/>
                    </w:rPr>
                    <w:t>浓度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8" w:hRule="atLeast"/>
                <w:jc w:val="center"/>
              </w:trPr>
              <w:tc>
                <w:tcPr>
                  <w:tcW w:w="1129" w:type="dxa"/>
                  <w:shd w:val="clear" w:color="auto" w:fill="auto"/>
                  <w:vAlign w:val="center"/>
                </w:tcPr>
                <w:p>
                  <w:pPr>
                    <w:jc w:val="center"/>
                    <w:rPr>
                      <w:color w:val="auto"/>
                      <w:kern w:val="0"/>
                      <w:szCs w:val="21"/>
                    </w:rPr>
                  </w:pPr>
                  <w:r>
                    <w:rPr>
                      <w:color w:val="auto"/>
                      <w:kern w:val="0"/>
                      <w:szCs w:val="21"/>
                    </w:rPr>
                    <w:t>颗粒物</w:t>
                  </w:r>
                </w:p>
              </w:tc>
              <w:tc>
                <w:tcPr>
                  <w:tcW w:w="1560" w:type="dxa"/>
                  <w:shd w:val="clear" w:color="auto" w:fill="auto"/>
                  <w:vAlign w:val="center"/>
                </w:tcPr>
                <w:p>
                  <w:pPr>
                    <w:jc w:val="center"/>
                    <w:rPr>
                      <w:color w:val="auto"/>
                      <w:kern w:val="0"/>
                      <w:szCs w:val="21"/>
                    </w:rPr>
                  </w:pPr>
                  <w:r>
                    <w:rPr>
                      <w:color w:val="auto"/>
                      <w:kern w:val="0"/>
                      <w:szCs w:val="21"/>
                    </w:rPr>
                    <w:t>120</w:t>
                  </w:r>
                </w:p>
              </w:tc>
              <w:tc>
                <w:tcPr>
                  <w:tcW w:w="1462" w:type="dxa"/>
                  <w:shd w:val="clear" w:color="auto" w:fill="auto"/>
                  <w:vAlign w:val="center"/>
                </w:tcPr>
                <w:p>
                  <w:pPr>
                    <w:jc w:val="center"/>
                    <w:rPr>
                      <w:color w:val="auto"/>
                      <w:kern w:val="0"/>
                      <w:szCs w:val="21"/>
                    </w:rPr>
                  </w:pPr>
                  <w:r>
                    <w:rPr>
                      <w:color w:val="auto"/>
                      <w:kern w:val="0"/>
                      <w:szCs w:val="21"/>
                    </w:rPr>
                    <w:t>15</w:t>
                  </w:r>
                </w:p>
              </w:tc>
              <w:tc>
                <w:tcPr>
                  <w:tcW w:w="1940" w:type="dxa"/>
                  <w:shd w:val="clear" w:color="auto" w:fill="auto"/>
                  <w:vAlign w:val="center"/>
                </w:tcPr>
                <w:p>
                  <w:pPr>
                    <w:jc w:val="center"/>
                    <w:rPr>
                      <w:color w:val="auto"/>
                      <w:kern w:val="0"/>
                      <w:szCs w:val="21"/>
                    </w:rPr>
                  </w:pPr>
                  <w:r>
                    <w:rPr>
                      <w:rFonts w:hint="eastAsia"/>
                      <w:color w:val="auto"/>
                      <w:kern w:val="0"/>
                      <w:szCs w:val="21"/>
                    </w:rPr>
                    <w:t>2.9</w:t>
                  </w:r>
                </w:p>
              </w:tc>
              <w:tc>
                <w:tcPr>
                  <w:tcW w:w="1321" w:type="dxa"/>
                  <w:tcBorders>
                    <w:right w:val="single" w:color="auto" w:sz="4" w:space="0"/>
                  </w:tcBorders>
                  <w:shd w:val="clear" w:color="auto" w:fill="auto"/>
                  <w:vAlign w:val="center"/>
                </w:tcPr>
                <w:p>
                  <w:pPr>
                    <w:jc w:val="center"/>
                    <w:rPr>
                      <w:color w:val="auto"/>
                      <w:kern w:val="0"/>
                      <w:szCs w:val="21"/>
                    </w:rPr>
                  </w:pPr>
                  <w:r>
                    <w:rPr>
                      <w:color w:val="auto"/>
                      <w:kern w:val="0"/>
                      <w:szCs w:val="21"/>
                    </w:rPr>
                    <w:t>周界外浓度最高点</w:t>
                  </w:r>
                </w:p>
              </w:tc>
              <w:tc>
                <w:tcPr>
                  <w:tcW w:w="884" w:type="dxa"/>
                  <w:tcBorders>
                    <w:left w:val="single" w:color="auto" w:sz="4" w:space="0"/>
                  </w:tcBorders>
                  <w:shd w:val="clear" w:color="auto" w:fill="auto"/>
                  <w:vAlign w:val="center"/>
                </w:tcPr>
                <w:p>
                  <w:pPr>
                    <w:jc w:val="center"/>
                    <w:rPr>
                      <w:color w:val="auto"/>
                      <w:kern w:val="0"/>
                      <w:szCs w:val="21"/>
                    </w:rPr>
                  </w:pPr>
                  <w:r>
                    <w:rPr>
                      <w:color w:val="auto"/>
                      <w:kern w:val="0"/>
                      <w:szCs w:val="21"/>
                    </w:rPr>
                    <w:t>1.0</w:t>
                  </w:r>
                </w:p>
              </w:tc>
            </w:tr>
          </w:tbl>
          <w:p>
            <w:pPr>
              <w:spacing w:before="120" w:beforeLines="50" w:line="360" w:lineRule="auto"/>
              <w:ind w:firstLine="480" w:firstLineChars="200"/>
              <w:rPr>
                <w:color w:val="auto"/>
                <w:sz w:val="24"/>
              </w:rPr>
            </w:pPr>
            <w:r>
              <w:rPr>
                <w:color w:val="auto"/>
                <w:sz w:val="24"/>
              </w:rPr>
              <w:t>柴油发电机尾气：项目备用发电机排放污染物产生的SO2、CO、NOX、烟尘执行《大气污染物排放限值》（DB44/27-2001）中第二时段二级标准的要求。</w:t>
            </w:r>
          </w:p>
          <w:p>
            <w:pPr>
              <w:spacing w:line="336" w:lineRule="auto"/>
              <w:ind w:firstLine="470" w:firstLineChars="195"/>
              <w:rPr>
                <w:b/>
                <w:color w:val="auto"/>
                <w:sz w:val="24"/>
              </w:rPr>
            </w:pPr>
            <w:r>
              <w:rPr>
                <w:b/>
                <w:color w:val="auto"/>
                <w:sz w:val="24"/>
              </w:rPr>
              <w:t>2、噪声排放标准：</w:t>
            </w:r>
          </w:p>
          <w:p>
            <w:pPr>
              <w:spacing w:line="360" w:lineRule="auto"/>
              <w:ind w:firstLine="720" w:firstLineChars="300"/>
              <w:rPr>
                <w:color w:val="auto"/>
                <w:sz w:val="24"/>
              </w:rPr>
            </w:pPr>
            <w:r>
              <w:rPr>
                <w:color w:val="auto"/>
                <w:sz w:val="24"/>
              </w:rPr>
              <w:t>本项目厂界噪声执行《工业企业厂界环境噪声排放标准》（GB12348-2008）中的2类标准，相关标准值详见下表。（见表4-10）。</w:t>
            </w:r>
          </w:p>
          <w:p>
            <w:pPr>
              <w:spacing w:line="360" w:lineRule="auto"/>
              <w:jc w:val="center"/>
              <w:rPr>
                <w:b/>
                <w:color w:val="auto"/>
                <w:sz w:val="24"/>
              </w:rPr>
            </w:pPr>
            <w:r>
              <w:rPr>
                <w:b/>
                <w:color w:val="auto"/>
                <w:sz w:val="24"/>
              </w:rPr>
              <w:t>表4-10</w:t>
            </w:r>
            <w:r>
              <w:rPr>
                <w:b/>
                <w:bCs/>
                <w:color w:val="auto"/>
                <w:sz w:val="24"/>
              </w:rPr>
              <w:t>《工业企业厂界环境噪声排放标准》（GB12348-2008）</w:t>
            </w:r>
          </w:p>
          <w:p>
            <w:pPr>
              <w:pStyle w:val="226"/>
              <w:ind w:firstLine="602" w:firstLineChars="250"/>
              <w:jc w:val="center"/>
              <w:rPr>
                <w:b/>
                <w:color w:val="auto"/>
              </w:rPr>
            </w:pPr>
            <w:r>
              <w:rPr>
                <w:b/>
                <w:color w:val="auto"/>
                <w:kern w:val="2"/>
              </w:rPr>
              <w:t>单位：等效声级Leq[dB(A)]</w:t>
            </w:r>
          </w:p>
          <w:tbl>
            <w:tblPr>
              <w:tblStyle w:val="29"/>
              <w:tblW w:w="865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069"/>
              <w:gridCol w:w="2807"/>
              <w:gridCol w:w="278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69" w:type="dxa"/>
                  <w:tcBorders>
                    <w:top w:val="single" w:color="auto" w:sz="12" w:space="0"/>
                    <w:left w:val="single" w:color="auto" w:sz="12" w:space="0"/>
                    <w:bottom w:val="single" w:color="auto" w:sz="4" w:space="0"/>
                    <w:right w:val="single" w:color="auto" w:sz="4" w:space="0"/>
                  </w:tcBorders>
                  <w:vAlign w:val="center"/>
                </w:tcPr>
                <w:p>
                  <w:pPr>
                    <w:jc w:val="center"/>
                    <w:rPr>
                      <w:color w:val="auto"/>
                      <w:spacing w:val="6"/>
                      <w:sz w:val="24"/>
                    </w:rPr>
                  </w:pPr>
                  <w:r>
                    <w:rPr>
                      <w:color w:val="auto"/>
                      <w:spacing w:val="6"/>
                      <w:sz w:val="24"/>
                    </w:rPr>
                    <w:t>适用区域</w:t>
                  </w:r>
                </w:p>
              </w:tc>
              <w:tc>
                <w:tcPr>
                  <w:tcW w:w="2807" w:type="dxa"/>
                  <w:tcBorders>
                    <w:top w:val="single" w:color="auto" w:sz="12" w:space="0"/>
                    <w:left w:val="single" w:color="auto" w:sz="4" w:space="0"/>
                    <w:bottom w:val="single" w:color="auto" w:sz="4" w:space="0"/>
                    <w:right w:val="single" w:color="auto" w:sz="4" w:space="0"/>
                  </w:tcBorders>
                  <w:vAlign w:val="center"/>
                </w:tcPr>
                <w:p>
                  <w:pPr>
                    <w:jc w:val="center"/>
                    <w:rPr>
                      <w:color w:val="auto"/>
                      <w:spacing w:val="6"/>
                      <w:sz w:val="24"/>
                    </w:rPr>
                  </w:pPr>
                  <w:r>
                    <w:rPr>
                      <w:color w:val="auto"/>
                      <w:spacing w:val="6"/>
                      <w:sz w:val="24"/>
                    </w:rPr>
                    <w:t>昼间Leq</w:t>
                  </w:r>
                </w:p>
              </w:tc>
              <w:tc>
                <w:tcPr>
                  <w:tcW w:w="2780" w:type="dxa"/>
                  <w:tcBorders>
                    <w:top w:val="single" w:color="auto" w:sz="12" w:space="0"/>
                    <w:left w:val="single" w:color="auto" w:sz="4" w:space="0"/>
                    <w:bottom w:val="single" w:color="auto" w:sz="4" w:space="0"/>
                    <w:right w:val="single" w:color="auto" w:sz="12" w:space="0"/>
                  </w:tcBorders>
                  <w:vAlign w:val="center"/>
                </w:tcPr>
                <w:p>
                  <w:pPr>
                    <w:jc w:val="center"/>
                    <w:rPr>
                      <w:color w:val="auto"/>
                      <w:spacing w:val="6"/>
                      <w:sz w:val="24"/>
                    </w:rPr>
                  </w:pPr>
                  <w:r>
                    <w:rPr>
                      <w:color w:val="auto"/>
                      <w:spacing w:val="6"/>
                      <w:sz w:val="24"/>
                    </w:rPr>
                    <w:t>夜间Leq</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69" w:type="dxa"/>
                  <w:tcBorders>
                    <w:top w:val="single" w:color="auto" w:sz="4" w:space="0"/>
                    <w:left w:val="single" w:color="auto" w:sz="12" w:space="0"/>
                    <w:bottom w:val="single" w:color="auto" w:sz="4" w:space="0"/>
                    <w:right w:val="single" w:color="auto" w:sz="4" w:space="0"/>
                  </w:tcBorders>
                  <w:vAlign w:val="center"/>
                </w:tcPr>
                <w:p>
                  <w:pPr>
                    <w:jc w:val="center"/>
                    <w:rPr>
                      <w:color w:val="auto"/>
                      <w:spacing w:val="6"/>
                      <w:sz w:val="24"/>
                    </w:rPr>
                  </w:pPr>
                  <w:r>
                    <w:rPr>
                      <w:color w:val="auto"/>
                      <w:spacing w:val="6"/>
                      <w:sz w:val="24"/>
                    </w:rPr>
                    <w:t>2类区</w:t>
                  </w:r>
                </w:p>
              </w:tc>
              <w:tc>
                <w:tcPr>
                  <w:tcW w:w="2807" w:type="dxa"/>
                  <w:tcBorders>
                    <w:top w:val="single" w:color="auto" w:sz="4" w:space="0"/>
                    <w:left w:val="single" w:color="auto" w:sz="4" w:space="0"/>
                    <w:bottom w:val="single" w:color="auto" w:sz="4" w:space="0"/>
                    <w:right w:val="single" w:color="auto" w:sz="4" w:space="0"/>
                  </w:tcBorders>
                  <w:vAlign w:val="center"/>
                </w:tcPr>
                <w:p>
                  <w:pPr>
                    <w:jc w:val="center"/>
                    <w:rPr>
                      <w:color w:val="auto"/>
                      <w:spacing w:val="6"/>
                      <w:sz w:val="24"/>
                    </w:rPr>
                  </w:pPr>
                  <w:r>
                    <w:rPr>
                      <w:color w:val="auto"/>
                      <w:spacing w:val="6"/>
                      <w:sz w:val="24"/>
                    </w:rPr>
                    <w:t>60</w:t>
                  </w:r>
                </w:p>
              </w:tc>
              <w:tc>
                <w:tcPr>
                  <w:tcW w:w="2780" w:type="dxa"/>
                  <w:tcBorders>
                    <w:top w:val="single" w:color="auto" w:sz="4" w:space="0"/>
                    <w:left w:val="single" w:color="auto" w:sz="4" w:space="0"/>
                    <w:bottom w:val="single" w:color="auto" w:sz="4" w:space="0"/>
                    <w:right w:val="single" w:color="auto" w:sz="12" w:space="0"/>
                  </w:tcBorders>
                  <w:vAlign w:val="center"/>
                </w:tcPr>
                <w:p>
                  <w:pPr>
                    <w:jc w:val="center"/>
                    <w:rPr>
                      <w:color w:val="auto"/>
                      <w:spacing w:val="6"/>
                      <w:sz w:val="24"/>
                    </w:rPr>
                  </w:pPr>
                  <w:r>
                    <w:rPr>
                      <w:color w:val="auto"/>
                      <w:spacing w:val="6"/>
                      <w:sz w:val="24"/>
                    </w:rPr>
                    <w:t>50</w:t>
                  </w:r>
                </w:p>
              </w:tc>
            </w:tr>
          </w:tbl>
          <w:p>
            <w:pPr>
              <w:spacing w:line="360" w:lineRule="auto"/>
              <w:rPr>
                <w:b/>
                <w:bCs/>
                <w:color w:val="auto"/>
                <w:sz w:val="24"/>
              </w:rPr>
            </w:pPr>
            <w:r>
              <w:rPr>
                <w:b/>
                <w:bCs/>
                <w:color w:val="auto"/>
                <w:sz w:val="24"/>
              </w:rPr>
              <w:t>4、固体废物排放标准：</w:t>
            </w:r>
          </w:p>
          <w:p>
            <w:pPr>
              <w:tabs>
                <w:tab w:val="left" w:pos="297"/>
              </w:tabs>
              <w:adjustRightInd w:val="0"/>
              <w:snapToGrid w:val="0"/>
              <w:spacing w:line="360" w:lineRule="auto"/>
              <w:ind w:firstLine="480"/>
              <w:rPr>
                <w:color w:val="auto"/>
                <w:sz w:val="24"/>
              </w:rPr>
            </w:pPr>
            <w:r>
              <w:rPr>
                <w:color w:val="auto"/>
                <w:sz w:val="24"/>
              </w:rPr>
              <w:t>一般工业固体废物执行《一般工业固体废物贮存、处置场污染控制标准》（GB18599-2001）及修改单。</w:t>
            </w:r>
          </w:p>
          <w:p>
            <w:pPr>
              <w:pStyle w:val="2"/>
              <w:rPr>
                <w:color w:val="auto"/>
              </w:rPr>
            </w:pPr>
          </w:p>
          <w:p>
            <w:pPr>
              <w:pStyle w:val="2"/>
              <w:rPr>
                <w:color w:val="auto"/>
              </w:rPr>
            </w:pPr>
          </w:p>
          <w:p>
            <w:pPr>
              <w:pStyle w:val="2"/>
              <w:rPr>
                <w:color w:val="auto"/>
              </w:rPr>
            </w:pPr>
          </w:p>
          <w:p>
            <w:pPr>
              <w:pStyle w:val="2"/>
              <w:rPr>
                <w:color w:val="auto"/>
              </w:rPr>
            </w:pPr>
          </w:p>
          <w:p>
            <w:pPr>
              <w:pStyle w:val="2"/>
              <w:rPr>
                <w:color w:val="auto"/>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13310" w:hRule="atLeast"/>
        </w:trPr>
        <w:tc>
          <w:tcPr>
            <w:tcW w:w="688" w:type="dxa"/>
            <w:vAlign w:val="center"/>
          </w:tcPr>
          <w:p>
            <w:pPr>
              <w:spacing w:before="120" w:line="300" w:lineRule="auto"/>
              <w:jc w:val="center"/>
              <w:rPr>
                <w:color w:val="auto"/>
                <w:sz w:val="24"/>
              </w:rPr>
            </w:pPr>
            <w:r>
              <w:rPr>
                <w:color w:val="auto"/>
                <w:sz w:val="24"/>
              </w:rPr>
              <w:t>总量控制指标</w:t>
            </w:r>
          </w:p>
        </w:tc>
        <w:tc>
          <w:tcPr>
            <w:tcW w:w="9059" w:type="dxa"/>
          </w:tcPr>
          <w:p>
            <w:pPr>
              <w:spacing w:line="360" w:lineRule="auto"/>
              <w:ind w:firstLine="480" w:firstLineChars="200"/>
              <w:rPr>
                <w:color w:val="auto"/>
                <w:sz w:val="24"/>
              </w:rPr>
            </w:pPr>
            <w:r>
              <w:rPr>
                <w:color w:val="auto"/>
                <w:sz w:val="24"/>
              </w:rPr>
              <w:t>1、水污染物总量控制指标：</w:t>
            </w:r>
          </w:p>
          <w:p>
            <w:pPr>
              <w:spacing w:line="360" w:lineRule="auto"/>
              <w:ind w:firstLine="480" w:firstLineChars="200"/>
              <w:rPr>
                <w:color w:val="auto"/>
                <w:sz w:val="24"/>
              </w:rPr>
            </w:pPr>
            <w:r>
              <w:rPr>
                <w:color w:val="auto"/>
                <w:sz w:val="24"/>
              </w:rPr>
              <w:t>本项目产生的生活污水，处理达到</w:t>
            </w:r>
            <w:r>
              <w:rPr>
                <w:rFonts w:hint="eastAsia"/>
                <w:color w:val="auto"/>
                <w:sz w:val="24"/>
              </w:rPr>
              <w:t>《城市污水再生利用</w:t>
            </w:r>
            <w:r>
              <w:rPr>
                <w:color w:val="auto"/>
                <w:sz w:val="24"/>
              </w:rPr>
              <w:t> </w:t>
            </w:r>
            <w:r>
              <w:rPr>
                <w:rFonts w:hint="eastAsia"/>
                <w:color w:val="auto"/>
                <w:sz w:val="24"/>
              </w:rPr>
              <w:t>城市杂用水水质》（</w:t>
            </w:r>
            <w:r>
              <w:rPr>
                <w:color w:val="auto"/>
                <w:sz w:val="24"/>
              </w:rPr>
              <w:t>GB/T18920-2002</w:t>
            </w:r>
            <w:r>
              <w:rPr>
                <w:rFonts w:hint="eastAsia"/>
                <w:color w:val="auto"/>
                <w:sz w:val="24"/>
              </w:rPr>
              <w:t>）中绿化用水标准要求后回用于厂区绿化灌溉</w:t>
            </w:r>
            <w:r>
              <w:rPr>
                <w:color w:val="auto"/>
                <w:sz w:val="24"/>
              </w:rPr>
              <w:t>，不外排。</w:t>
            </w:r>
            <w:r>
              <w:rPr>
                <w:bCs/>
                <w:color w:val="auto"/>
                <w:sz w:val="24"/>
              </w:rPr>
              <w:t>项目产生生产废水经处理达到《城市污水再生利用工业用水水质》（GB/T 19923-2005）标准，回用为生产线用水及运输车辆清洗用水，不外排。</w:t>
            </w:r>
            <w:r>
              <w:rPr>
                <w:color w:val="auto"/>
                <w:sz w:val="24"/>
              </w:rPr>
              <w:t>因此，本项目无需申请水污染物总量控制指标。</w:t>
            </w:r>
          </w:p>
          <w:p>
            <w:pPr>
              <w:spacing w:line="360" w:lineRule="auto"/>
              <w:ind w:firstLine="480" w:firstLineChars="200"/>
              <w:rPr>
                <w:color w:val="auto"/>
                <w:sz w:val="24"/>
              </w:rPr>
            </w:pPr>
            <w:r>
              <w:rPr>
                <w:color w:val="auto"/>
                <w:sz w:val="24"/>
              </w:rPr>
              <w:t>2、大气污染物总量控制指标：</w:t>
            </w:r>
          </w:p>
          <w:p>
            <w:pPr>
              <w:adjustRightInd w:val="0"/>
              <w:spacing w:line="360" w:lineRule="auto"/>
              <w:ind w:firstLine="480" w:firstLineChars="200"/>
              <w:textAlignment w:val="baseline"/>
              <w:rPr>
                <w:color w:val="auto"/>
                <w:sz w:val="24"/>
              </w:rPr>
            </w:pPr>
            <w:r>
              <w:rPr>
                <w:color w:val="auto"/>
                <w:sz w:val="24"/>
              </w:rPr>
              <w:t>根据《揭阳市环境保护和生态建设“十三五”规划》，揭阳市实施总量控制的主要污染物为二氧化硫、化学需氧量、氮氧化物、氨氮、总氮、挥发性有机物、重点行业的重点重金属排放量。</w:t>
            </w:r>
          </w:p>
          <w:p>
            <w:pPr>
              <w:adjustRightInd w:val="0"/>
              <w:spacing w:line="360" w:lineRule="auto"/>
              <w:ind w:firstLine="480" w:firstLineChars="200"/>
              <w:textAlignment w:val="baseline"/>
              <w:rPr>
                <w:color w:val="auto"/>
                <w:sz w:val="24"/>
              </w:rPr>
            </w:pPr>
            <w:r>
              <w:rPr>
                <w:color w:val="auto"/>
                <w:sz w:val="24"/>
              </w:rPr>
              <w:t>本项目大气污染物主要为粉尘，</w:t>
            </w:r>
            <w:r>
              <w:rPr>
                <w:rFonts w:hint="eastAsia"/>
                <w:color w:val="auto"/>
                <w:sz w:val="24"/>
              </w:rPr>
              <w:t>核算有组织</w:t>
            </w:r>
            <w:r>
              <w:rPr>
                <w:color w:val="auto"/>
                <w:sz w:val="24"/>
              </w:rPr>
              <w:t>排放总量为0.75t/a</w:t>
            </w:r>
            <w:r>
              <w:rPr>
                <w:rFonts w:hint="eastAsia"/>
                <w:color w:val="auto"/>
                <w:sz w:val="24"/>
              </w:rPr>
              <w:t>，无组织</w:t>
            </w:r>
            <w:r>
              <w:rPr>
                <w:color w:val="auto"/>
                <w:sz w:val="24"/>
              </w:rPr>
              <w:t>排放总量为0.34t/a</w:t>
            </w:r>
            <w:r>
              <w:rPr>
                <w:rFonts w:hint="eastAsia"/>
                <w:color w:val="auto"/>
                <w:sz w:val="24"/>
              </w:rPr>
              <w:t>，项目</w:t>
            </w:r>
            <w:r>
              <w:rPr>
                <w:color w:val="auto"/>
                <w:sz w:val="24"/>
              </w:rPr>
              <w:t>不涉及控制总量的重点污染物，故不设大气污染物总量控制指标。</w:t>
            </w:r>
          </w:p>
          <w:p>
            <w:pPr>
              <w:adjustRightInd w:val="0"/>
              <w:spacing w:line="360" w:lineRule="auto"/>
              <w:ind w:firstLine="480" w:firstLineChars="200"/>
              <w:textAlignment w:val="baseline"/>
              <w:rPr>
                <w:color w:val="auto"/>
                <w:sz w:val="24"/>
              </w:rPr>
            </w:pPr>
            <w:r>
              <w:rPr>
                <w:rFonts w:hint="eastAsia"/>
                <w:color w:val="auto"/>
                <w:sz w:val="24"/>
              </w:rPr>
              <w:t>备用发电机属于备用发电装置，项目所在地供电正常，备用发电机使用频率极低，故不设大气污染物总量控制指标。</w:t>
            </w:r>
          </w:p>
          <w:p>
            <w:pPr>
              <w:pStyle w:val="2"/>
              <w:spacing w:line="360" w:lineRule="auto"/>
              <w:ind w:firstLine="0" w:firstLineChars="0"/>
              <w:rPr>
                <w:color w:val="auto"/>
                <w:sz w:val="24"/>
              </w:rPr>
            </w:pPr>
            <w:r>
              <w:rPr>
                <w:color w:val="auto"/>
                <w:sz w:val="24"/>
                <w:szCs w:val="24"/>
              </w:rPr>
              <w:t>　　</w:t>
            </w:r>
            <w:r>
              <w:rPr>
                <w:color w:val="auto"/>
                <w:sz w:val="24"/>
              </w:rPr>
              <w:t>因此本项目无需设置排放总量控制指标。</w:t>
            </w:r>
          </w:p>
        </w:tc>
      </w:tr>
    </w:tbl>
    <w:p>
      <w:pPr>
        <w:pStyle w:val="3"/>
        <w:keepLines/>
        <w:tabs>
          <w:tab w:val="left" w:pos="630"/>
        </w:tabs>
        <w:ind w:firstLine="148" w:firstLineChars="49"/>
        <w:jc w:val="both"/>
        <w:rPr>
          <w:b/>
          <w:bCs/>
          <w:color w:val="auto"/>
          <w:kern w:val="44"/>
          <w:sz w:val="30"/>
          <w:szCs w:val="30"/>
        </w:rPr>
      </w:pPr>
      <w:r>
        <w:rPr>
          <w:b/>
          <w:bCs/>
          <w:color w:val="auto"/>
          <w:kern w:val="44"/>
          <w:sz w:val="30"/>
          <w:szCs w:val="30"/>
        </w:rPr>
        <w:t>五、建设项目工程分析</w:t>
      </w:r>
    </w:p>
    <w:tbl>
      <w:tblPr>
        <w:tblStyle w:val="29"/>
        <w:tblW w:w="94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6" w:hRule="atLeast"/>
          <w:jc w:val="center"/>
        </w:trPr>
        <w:tc>
          <w:tcPr>
            <w:tcW w:w="9429" w:type="dxa"/>
          </w:tcPr>
          <w:p>
            <w:pPr>
              <w:spacing w:line="336" w:lineRule="auto"/>
              <w:rPr>
                <w:b/>
                <w:bCs/>
                <w:color w:val="auto"/>
                <w:sz w:val="24"/>
              </w:rPr>
            </w:pPr>
            <w:r>
              <w:rPr>
                <w:b/>
                <w:bCs/>
                <w:color w:val="auto"/>
                <w:sz w:val="24"/>
              </w:rPr>
              <w:t>一、项目商品混凝土生产工艺流程及产污环节，如下图：</w:t>
            </w:r>
          </w:p>
          <w:p>
            <w:pPr>
              <w:spacing w:line="336" w:lineRule="auto"/>
              <w:ind w:firstLine="480" w:firstLineChars="200"/>
              <w:rPr>
                <w:color w:val="auto"/>
                <w:sz w:val="24"/>
              </w:rPr>
            </w:pPr>
            <w:r>
              <w:rPr>
                <w:color w:val="auto"/>
                <w:sz w:val="24"/>
              </w:rPr>
              <w:t>本项目2条混凝土搅拌生产线工艺流程及产污节点，见下表。</w:t>
            </w:r>
          </w:p>
          <w:p>
            <w:pPr>
              <w:spacing w:line="360" w:lineRule="auto"/>
              <w:ind w:firstLine="420" w:firstLineChars="200"/>
              <w:jc w:val="center"/>
              <w:rPr>
                <w:b/>
                <w:bCs/>
                <w:color w:val="auto"/>
                <w:sz w:val="24"/>
              </w:rPr>
            </w:pPr>
            <w:r>
              <w:rPr>
                <w:color w:val="auto"/>
              </w:rPr>
              <w:drawing>
                <wp:inline distT="0" distB="0" distL="0" distR="0">
                  <wp:extent cx="4881880" cy="38100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908048" cy="3830384"/>
                          </a:xfrm>
                          <a:prstGeom prst="rect">
                            <a:avLst/>
                          </a:prstGeom>
                          <a:noFill/>
                          <a:ln>
                            <a:noFill/>
                          </a:ln>
                        </pic:spPr>
                      </pic:pic>
                    </a:graphicData>
                  </a:graphic>
                </wp:inline>
              </w:drawing>
            </w:r>
          </w:p>
          <w:p>
            <w:pPr>
              <w:spacing w:line="360" w:lineRule="auto"/>
              <w:ind w:firstLine="482" w:firstLineChars="200"/>
              <w:rPr>
                <w:b/>
                <w:bCs/>
                <w:color w:val="auto"/>
                <w:sz w:val="24"/>
              </w:rPr>
            </w:pPr>
          </w:p>
          <w:p>
            <w:pPr>
              <w:spacing w:line="360" w:lineRule="auto"/>
              <w:ind w:firstLine="482" w:firstLineChars="200"/>
              <w:jc w:val="center"/>
              <w:rPr>
                <w:b/>
                <w:bCs/>
                <w:color w:val="auto"/>
                <w:sz w:val="24"/>
              </w:rPr>
            </w:pPr>
            <w:r>
              <w:rPr>
                <w:b/>
                <w:bCs/>
                <w:color w:val="auto"/>
                <w:sz w:val="24"/>
              </w:rPr>
              <w:t>图5-1 项目商品混凝土生产工艺流程图</w:t>
            </w:r>
          </w:p>
          <w:p>
            <w:pPr>
              <w:pStyle w:val="216"/>
              <w:snapToGrid/>
              <w:spacing w:line="360" w:lineRule="auto"/>
              <w:ind w:firstLine="482" w:firstLineChars="200"/>
              <w:rPr>
                <w:rFonts w:eastAsia="宋体"/>
                <w:b/>
                <w:bCs/>
                <w:color w:val="auto"/>
                <w:sz w:val="24"/>
                <w:szCs w:val="24"/>
              </w:rPr>
            </w:pPr>
            <w:r>
              <w:rPr>
                <w:rFonts w:eastAsia="宋体"/>
                <w:b/>
                <w:bCs/>
                <w:color w:val="auto"/>
                <w:sz w:val="24"/>
                <w:szCs w:val="24"/>
              </w:rPr>
              <w:t>工艺流程说明：</w:t>
            </w:r>
          </w:p>
          <w:p>
            <w:pPr>
              <w:spacing w:line="360" w:lineRule="auto"/>
              <w:ind w:firstLine="480" w:firstLineChars="200"/>
              <w:rPr>
                <w:color w:val="auto"/>
                <w:sz w:val="24"/>
              </w:rPr>
            </w:pPr>
            <w:r>
              <w:rPr>
                <w:color w:val="auto"/>
                <w:sz w:val="24"/>
              </w:rPr>
              <w:t>一、原料进厂及计量：</w:t>
            </w:r>
          </w:p>
          <w:p>
            <w:pPr>
              <w:spacing w:line="360" w:lineRule="auto"/>
              <w:ind w:firstLine="480" w:firstLineChars="200"/>
              <w:rPr>
                <w:color w:val="auto"/>
                <w:sz w:val="24"/>
              </w:rPr>
            </w:pPr>
            <w:r>
              <w:rPr>
                <w:color w:val="auto"/>
                <w:sz w:val="24"/>
              </w:rPr>
              <w:t>1、外购一定粒径的骨料（砂子和碎石），通过封闭式自动装卸车运输到厂内，然后根据需要将原料卸放到砂石料场；将骨料通过铲车运送至计量斗进行电子称量，然后骨料由计量斗直接下落至骨料输送带上，通过输送带运至搅拌机内；</w:t>
            </w:r>
          </w:p>
          <w:p>
            <w:pPr>
              <w:spacing w:line="360" w:lineRule="auto"/>
              <w:ind w:firstLine="480" w:firstLineChars="200"/>
              <w:rPr>
                <w:color w:val="auto"/>
                <w:sz w:val="24"/>
              </w:rPr>
            </w:pPr>
            <w:r>
              <w:rPr>
                <w:color w:val="auto"/>
                <w:sz w:val="24"/>
              </w:rPr>
              <w:t>2、外购的水泥和粉煤灰由封闭式自动装卸车运输到厂内，经管道直接由原料车利用压缩空气泵泵入粉料筒库，然后通过空气输送管送至电子称中进行称重，然后通过管道进入搅拌机；</w:t>
            </w:r>
          </w:p>
          <w:p>
            <w:pPr>
              <w:pStyle w:val="68"/>
              <w:spacing w:line="360" w:lineRule="auto"/>
              <w:ind w:firstLine="480"/>
              <w:rPr>
                <w:rFonts w:cs="Times New Roman"/>
                <w:color w:val="auto"/>
                <w:sz w:val="24"/>
                <w:szCs w:val="24"/>
              </w:rPr>
            </w:pPr>
            <w:r>
              <w:rPr>
                <w:rFonts w:cs="Times New Roman"/>
                <w:color w:val="auto"/>
                <w:sz w:val="24"/>
                <w:szCs w:val="24"/>
              </w:rPr>
              <w:t>3、水和外加剂分别通过泵送到电子称中进行称量后送至搅拌机；</w:t>
            </w:r>
          </w:p>
          <w:p>
            <w:pPr>
              <w:pStyle w:val="68"/>
              <w:spacing w:line="360" w:lineRule="auto"/>
              <w:ind w:firstLine="480"/>
              <w:rPr>
                <w:rFonts w:cs="Times New Roman"/>
                <w:color w:val="auto"/>
                <w:sz w:val="24"/>
                <w:szCs w:val="24"/>
              </w:rPr>
            </w:pPr>
            <w:r>
              <w:rPr>
                <w:rFonts w:cs="Times New Roman"/>
                <w:color w:val="auto"/>
                <w:sz w:val="24"/>
                <w:szCs w:val="24"/>
              </w:rPr>
              <w:t>二、搅拌：</w:t>
            </w:r>
          </w:p>
          <w:p>
            <w:pPr>
              <w:pStyle w:val="68"/>
              <w:spacing w:line="360" w:lineRule="auto"/>
              <w:ind w:firstLine="480"/>
              <w:rPr>
                <w:rFonts w:cs="Times New Roman"/>
                <w:color w:val="auto"/>
                <w:sz w:val="24"/>
                <w:szCs w:val="24"/>
              </w:rPr>
            </w:pPr>
            <w:r>
              <w:rPr>
                <w:rFonts w:cs="Times New Roman"/>
                <w:color w:val="auto"/>
                <w:sz w:val="24"/>
                <w:szCs w:val="24"/>
              </w:rPr>
              <w:t>石子、砂子、水泥、水等按照配合比设定好，经电子秤称料投入搅拌机，按设定搅拌时间，经皮带输送机输送搅拌机搅拌，则进入搅拌机的物料在相互反转的两根搅拌轴上的双道螺旋叶片的搅拌下，使物料产生挤压、磨擦、剪切、对流，从而进行剧烈的强制掺和，搅拌结束后由搅拌机开门装置的气缸将门打开，由叶片将已搅拌好的混凝土推到运输车上，全部推出后关门进入下一个搅拌循环；</w:t>
            </w:r>
          </w:p>
          <w:p>
            <w:pPr>
              <w:pStyle w:val="216"/>
              <w:autoSpaceDE w:val="0"/>
              <w:autoSpaceDN w:val="0"/>
              <w:adjustRightInd w:val="0"/>
              <w:snapToGrid/>
              <w:spacing w:line="360" w:lineRule="auto"/>
              <w:ind w:firstLine="481"/>
              <w:textAlignment w:val="baseline"/>
              <w:rPr>
                <w:rFonts w:eastAsia="宋体"/>
                <w:color w:val="auto"/>
                <w:sz w:val="24"/>
                <w:szCs w:val="24"/>
              </w:rPr>
            </w:pPr>
            <w:r>
              <w:rPr>
                <w:rFonts w:eastAsia="宋体"/>
                <w:color w:val="auto"/>
                <w:sz w:val="24"/>
                <w:szCs w:val="24"/>
              </w:rPr>
              <w:t>三、取样品检验并分析数据（实验室工序）：取搅拌好的混凝土少量，倒入模具中养护成型，再以测试设备施加压力，测试硬度。得出数据并分析。实验室工序全过程为物理测试，无打磨步骤，不产生废气、废水，检验后废料经破碎后可投加到搅拌系统。</w:t>
            </w:r>
          </w:p>
          <w:p>
            <w:pPr>
              <w:pStyle w:val="68"/>
              <w:spacing w:line="360" w:lineRule="auto"/>
              <w:ind w:firstLine="480"/>
              <w:rPr>
                <w:rFonts w:cs="Times New Roman"/>
                <w:color w:val="auto"/>
                <w:sz w:val="24"/>
                <w:szCs w:val="24"/>
              </w:rPr>
            </w:pPr>
            <w:r>
              <w:rPr>
                <w:rFonts w:cs="Times New Roman"/>
                <w:color w:val="auto"/>
                <w:sz w:val="24"/>
                <w:szCs w:val="24"/>
              </w:rPr>
              <w:t>注：项目各生产工序均采用集中控制，连锁、联动的协调性、安全性高，各物料的输送、计量均采用封闭式；运输车均为密封罐运输。</w:t>
            </w:r>
          </w:p>
          <w:p>
            <w:pPr>
              <w:spacing w:line="360" w:lineRule="auto"/>
              <w:ind w:firstLine="482" w:firstLineChars="200"/>
              <w:rPr>
                <w:b/>
                <w:bCs/>
                <w:color w:val="auto"/>
                <w:sz w:val="24"/>
              </w:rPr>
            </w:pPr>
            <w:r>
              <w:rPr>
                <w:b/>
                <w:bCs/>
                <w:color w:val="auto"/>
                <w:sz w:val="24"/>
              </w:rPr>
              <w:t>二、</w:t>
            </w:r>
            <w:r>
              <w:rPr>
                <w:rFonts w:hint="eastAsia"/>
                <w:b/>
                <w:bCs/>
                <w:color w:val="auto"/>
                <w:sz w:val="24"/>
              </w:rPr>
              <w:t>干</w:t>
            </w:r>
            <w:r>
              <w:rPr>
                <w:b/>
                <w:bCs/>
                <w:color w:val="auto"/>
                <w:sz w:val="24"/>
              </w:rPr>
              <w:t>式制砂生产工艺流程及产污环节，见下图</w:t>
            </w:r>
          </w:p>
          <w:p>
            <w:pPr>
              <w:pStyle w:val="2"/>
              <w:rPr>
                <w:color w:val="auto"/>
              </w:rPr>
            </w:pPr>
            <w:r>
              <w:rPr>
                <w:color w:val="auto"/>
                <w:szCs w:val="24"/>
              </w:rPr>
              <w:pict>
                <v:shape id="_x0000_s1035" o:spid="_x0000_s1035" o:spt="202" type="#_x0000_t202" style="position:absolute;left:0pt;margin-left:369.95pt;margin-top:10.65pt;height:26.25pt;width:69pt;z-index:251677696;mso-width-relative:page;mso-height-relative:page;" coordsize="21600,21600">
                  <v:path/>
                  <v:fill focussize="0,0"/>
                  <v:stroke weight="1pt" joinstyle="miter"/>
                  <v:imagedata o:title=""/>
                  <o:lock v:ext="edit"/>
                  <v:textbox>
                    <w:txbxContent>
                      <w:p>
                        <w:pPr>
                          <w:snapToGrid w:val="0"/>
                        </w:pPr>
                        <w:r>
                          <w:rPr>
                            <w:rFonts w:hint="eastAsia"/>
                          </w:rPr>
                          <w:t>混凝土搅拌</w:t>
                        </w:r>
                      </w:p>
                    </w:txbxContent>
                  </v:textbox>
                </v:shape>
              </w:pict>
            </w:r>
          </w:p>
          <w:p>
            <w:pPr>
              <w:pStyle w:val="2"/>
              <w:ind w:left="18" w:leftChars="-59" w:hanging="142" w:hangingChars="59"/>
              <w:jc w:val="center"/>
              <w:rPr>
                <w:color w:val="auto"/>
              </w:rPr>
            </w:pPr>
            <w:r>
              <w:rPr>
                <w:b/>
                <w:bCs/>
                <w:color w:val="auto"/>
                <w:sz w:val="24"/>
              </w:rPr>
              <w:pict>
                <v:shape id="_x0000_s1039" o:spid="_x0000_s1039" o:spt="202" type="#_x0000_t202" style="position:absolute;left:0pt;margin-left:330.95pt;margin-top:150.9pt;height:26.25pt;width:78.75pt;z-index:251679744;mso-width-relative:page;mso-height-relative:page;" coordsize="21600,21600">
                  <v:path/>
                  <v:fill focussize="0,0"/>
                  <v:stroke weight="1pt" joinstyle="miter"/>
                  <v:imagedata o:title=""/>
                  <o:lock v:ext="edit"/>
                  <v:textbox>
                    <w:txbxContent>
                      <w:p>
                        <w:pPr>
                          <w:snapToGrid w:val="0"/>
                        </w:pPr>
                        <w:r>
                          <w:rPr>
                            <w:rFonts w:hint="eastAsia"/>
                          </w:rPr>
                          <w:t>外售砖厂制砖</w:t>
                        </w:r>
                      </w:p>
                    </w:txbxContent>
                  </v:textbox>
                </v:shape>
              </w:pict>
            </w:r>
            <w:r>
              <w:rPr>
                <w:color w:val="auto"/>
                <w:szCs w:val="24"/>
              </w:rPr>
              <w:pict>
                <v:shape id="_x0000_s1038" o:spid="_x0000_s1038" o:spt="32" type="#_x0000_t32" style="position:absolute;left:0pt;flip:y;margin-left:399.2pt;margin-top:24.15pt;height:23.25pt;width:0pt;z-index:251678720;mso-width-relative:page;mso-height-relative:page;" o:connectortype="straight" filled="f" coordsize="21600,21600">
                  <v:path arrowok="t"/>
                  <v:fill on="f" focussize="0,0"/>
                  <v:stroke endarrow="open" endarrowwidth="wide" endarrowlength="long"/>
                  <v:imagedata o:title=""/>
                  <o:lock v:ext="edit"/>
                </v:shape>
              </w:pict>
            </w:r>
            <w:r>
              <w:rPr>
                <w:color w:val="auto"/>
                <w:szCs w:val="24"/>
              </w:rPr>
              <w:drawing>
                <wp:inline distT="0" distB="0" distL="0" distR="0">
                  <wp:extent cx="5486400" cy="23241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4"/>
                          <a:stretch>
                            <a:fillRect/>
                          </a:stretch>
                        </pic:blipFill>
                        <pic:spPr>
                          <a:xfrm>
                            <a:off x="0" y="0"/>
                            <a:ext cx="5486400" cy="2324100"/>
                          </a:xfrm>
                          <a:prstGeom prst="rect">
                            <a:avLst/>
                          </a:prstGeom>
                        </pic:spPr>
                      </pic:pic>
                    </a:graphicData>
                  </a:graphic>
                </wp:inline>
              </w:drawing>
            </w:r>
          </w:p>
          <w:p>
            <w:pPr>
              <w:pStyle w:val="216"/>
              <w:snapToGrid/>
              <w:spacing w:line="360" w:lineRule="auto"/>
              <w:ind w:firstLine="482" w:firstLineChars="200"/>
              <w:rPr>
                <w:rFonts w:eastAsia="宋体"/>
                <w:b/>
                <w:bCs/>
                <w:color w:val="auto"/>
                <w:sz w:val="24"/>
                <w:szCs w:val="24"/>
              </w:rPr>
            </w:pPr>
          </w:p>
          <w:p>
            <w:pPr>
              <w:pStyle w:val="216"/>
              <w:snapToGrid/>
              <w:spacing w:line="360" w:lineRule="auto"/>
              <w:ind w:firstLine="482" w:firstLineChars="200"/>
              <w:rPr>
                <w:rFonts w:eastAsia="宋体"/>
                <w:b/>
                <w:bCs/>
                <w:color w:val="auto"/>
                <w:sz w:val="24"/>
                <w:szCs w:val="24"/>
              </w:rPr>
            </w:pPr>
            <w:r>
              <w:rPr>
                <w:rFonts w:eastAsia="宋体"/>
                <w:b/>
                <w:bCs/>
                <w:color w:val="auto"/>
                <w:sz w:val="24"/>
                <w:szCs w:val="24"/>
              </w:rPr>
              <w:t>工艺流程说明：</w:t>
            </w:r>
          </w:p>
          <w:p>
            <w:pPr>
              <w:pStyle w:val="216"/>
              <w:snapToGrid/>
              <w:spacing w:line="360" w:lineRule="auto"/>
              <w:ind w:firstLine="480" w:firstLineChars="200"/>
              <w:rPr>
                <w:rFonts w:eastAsia="宋体"/>
                <w:b/>
                <w:bCs/>
                <w:color w:val="auto"/>
                <w:sz w:val="24"/>
                <w:szCs w:val="24"/>
              </w:rPr>
            </w:pPr>
            <w:r>
              <w:rPr>
                <w:rFonts w:hint="eastAsia" w:eastAsia="宋体"/>
                <w:color w:val="auto"/>
                <w:sz w:val="24"/>
                <w:szCs w:val="24"/>
              </w:rPr>
              <w:t>外购周边石料厂原料砂子（粒径3-5mm）运至原料方仓（原料方仓下料口设有气动阀控制闭合），原料经过输送机输送到制砂机进行破碎；破碎后经料槽流入提升机进料口，通过提升机将物料输送至圆筒筛（筛网φ2.5mm）分级，粒径大于2.5mm的物料经料槽返回原料仓进行再次破碎；粒径小于2.5mm的物料进入级配调整机粒型优化，优化后的物料粒径&lt;0.5mm即为成品砂，</w:t>
            </w:r>
            <w:r>
              <w:rPr>
                <w:rFonts w:eastAsia="宋体"/>
                <w:color w:val="auto"/>
                <w:sz w:val="24"/>
                <w:szCs w:val="24"/>
              </w:rPr>
              <w:t>成品砂加湿后</w:t>
            </w:r>
            <w:r>
              <w:rPr>
                <w:rFonts w:hint="eastAsia" w:eastAsia="宋体"/>
                <w:color w:val="auto"/>
                <w:sz w:val="24"/>
                <w:szCs w:val="24"/>
              </w:rPr>
              <w:t>，用密封皮带输送机送到料仓内存放；而被分离出来的石粉（粒径＜0.075mm，约占原料总量的7%）在其内部的沉降室内受重力沉降作用而落入灰斗，微细粉尘（约占石粉总量的10%）则进入脉冲布袋除尘器。</w:t>
            </w:r>
          </w:p>
          <w:p>
            <w:pPr>
              <w:pStyle w:val="68"/>
              <w:ind w:firstLine="482"/>
              <w:rPr>
                <w:rFonts w:cs="Times New Roman"/>
                <w:b/>
                <w:bCs/>
                <w:color w:val="auto"/>
                <w:sz w:val="24"/>
              </w:rPr>
            </w:pPr>
            <w:r>
              <w:rPr>
                <w:rFonts w:cs="Times New Roman"/>
                <w:b/>
                <w:bCs/>
                <w:color w:val="auto"/>
                <w:sz w:val="24"/>
              </w:rPr>
              <w:t>三、砂石分离机工艺流程，见下图</w:t>
            </w:r>
          </w:p>
          <w:p>
            <w:pPr>
              <w:pStyle w:val="68"/>
              <w:ind w:firstLine="480"/>
              <w:jc w:val="center"/>
              <w:rPr>
                <w:rFonts w:cs="Times New Roman"/>
                <w:b/>
                <w:bCs/>
                <w:color w:val="auto"/>
                <w:sz w:val="24"/>
              </w:rPr>
            </w:pPr>
            <w:r>
              <w:rPr>
                <w:rFonts w:cs="Times New Roman"/>
                <w:color w:val="auto"/>
                <w:sz w:val="24"/>
              </w:rPr>
              <w:drawing>
                <wp:inline distT="0" distB="0" distL="0" distR="0">
                  <wp:extent cx="2760345" cy="2372360"/>
                  <wp:effectExtent l="0" t="0" r="0" b="0"/>
                  <wp:docPr id="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60345" cy="2372360"/>
                          </a:xfrm>
                          <a:prstGeom prst="rect">
                            <a:avLst/>
                          </a:prstGeom>
                          <a:noFill/>
                          <a:ln>
                            <a:noFill/>
                          </a:ln>
                        </pic:spPr>
                      </pic:pic>
                    </a:graphicData>
                  </a:graphic>
                </wp:inline>
              </w:drawing>
            </w:r>
          </w:p>
          <w:p>
            <w:pPr>
              <w:pStyle w:val="68"/>
              <w:ind w:firstLine="422"/>
              <w:rPr>
                <w:rFonts w:cs="Times New Roman"/>
                <w:b/>
                <w:bCs/>
                <w:color w:val="auto"/>
                <w:sz w:val="21"/>
                <w:szCs w:val="21"/>
              </w:rPr>
            </w:pPr>
            <w:r>
              <w:rPr>
                <w:rFonts w:cs="Times New Roman"/>
                <w:b/>
                <w:bCs/>
                <w:color w:val="auto"/>
                <w:sz w:val="21"/>
                <w:szCs w:val="21"/>
              </w:rPr>
              <w:t>注：原料为搅拌车残留混凝土、装料口掉料</w:t>
            </w:r>
          </w:p>
          <w:p>
            <w:pPr>
              <w:pStyle w:val="216"/>
              <w:snapToGrid/>
              <w:spacing w:line="360" w:lineRule="auto"/>
              <w:ind w:firstLine="482" w:firstLineChars="200"/>
              <w:rPr>
                <w:rFonts w:eastAsia="宋体"/>
                <w:b/>
                <w:bCs/>
                <w:color w:val="auto"/>
                <w:sz w:val="24"/>
                <w:szCs w:val="24"/>
              </w:rPr>
            </w:pPr>
          </w:p>
          <w:p>
            <w:pPr>
              <w:pStyle w:val="216"/>
              <w:spacing w:line="360" w:lineRule="auto"/>
              <w:ind w:firstLine="482" w:firstLineChars="200"/>
              <w:rPr>
                <w:rFonts w:eastAsia="宋体"/>
                <w:b/>
                <w:bCs/>
                <w:color w:val="auto"/>
                <w:sz w:val="24"/>
                <w:szCs w:val="24"/>
              </w:rPr>
            </w:pPr>
            <w:r>
              <w:rPr>
                <w:rFonts w:eastAsia="宋体"/>
                <w:b/>
                <w:bCs/>
                <w:color w:val="auto"/>
                <w:sz w:val="24"/>
                <w:szCs w:val="24"/>
              </w:rPr>
              <w:t>工艺流程说明：</w:t>
            </w:r>
          </w:p>
          <w:p>
            <w:pPr>
              <w:pStyle w:val="68"/>
              <w:snapToGrid w:val="0"/>
              <w:spacing w:line="360" w:lineRule="auto"/>
              <w:ind w:firstLine="480"/>
              <w:rPr>
                <w:rFonts w:cs="Times New Roman"/>
                <w:color w:val="auto"/>
                <w:sz w:val="24"/>
                <w:szCs w:val="24"/>
              </w:rPr>
            </w:pPr>
            <w:r>
              <w:rPr>
                <w:rFonts w:cs="Times New Roman"/>
                <w:color w:val="auto"/>
                <w:sz w:val="24"/>
                <w:szCs w:val="24"/>
              </w:rPr>
              <w:t>搅拌机（车）、装料口掉料冲洗产生的混凝土残留物及水进入料槽后，同时连续注入循环水，在水流冲击下，混合浆料随水进料口进入分离机，对残留混凝土进行充分搅拌冲洗，水泥浆水从底部出浆口流出，进入废水暂存池，砂、石经分离后经各自的料口落入料池，回用于生产。</w:t>
            </w:r>
          </w:p>
          <w:p>
            <w:pPr>
              <w:numPr>
                <w:ilvl w:val="0"/>
                <w:numId w:val="7"/>
              </w:numPr>
              <w:tabs>
                <w:tab w:val="left" w:pos="5775"/>
              </w:tabs>
              <w:snapToGrid w:val="0"/>
              <w:spacing w:line="360" w:lineRule="auto"/>
              <w:ind w:firstLine="562"/>
              <w:rPr>
                <w:b/>
                <w:bCs/>
                <w:color w:val="auto"/>
                <w:sz w:val="28"/>
                <w:szCs w:val="28"/>
              </w:rPr>
            </w:pPr>
            <w:r>
              <w:rPr>
                <w:b/>
                <w:bCs/>
                <w:color w:val="auto"/>
                <w:sz w:val="28"/>
                <w:szCs w:val="28"/>
              </w:rPr>
              <w:t>施工期</w:t>
            </w:r>
            <w:r>
              <w:rPr>
                <w:rFonts w:hint="eastAsia"/>
                <w:b/>
                <w:bCs/>
                <w:color w:val="auto"/>
                <w:sz w:val="28"/>
                <w:szCs w:val="28"/>
              </w:rPr>
              <w:t>污染工</w:t>
            </w:r>
            <w:r>
              <w:rPr>
                <w:b/>
                <w:bCs/>
                <w:color w:val="auto"/>
                <w:sz w:val="28"/>
                <w:szCs w:val="28"/>
              </w:rPr>
              <w:t>序</w:t>
            </w:r>
          </w:p>
          <w:p>
            <w:pPr>
              <w:pStyle w:val="68"/>
              <w:snapToGrid w:val="0"/>
              <w:spacing w:line="360" w:lineRule="auto"/>
              <w:ind w:firstLine="472"/>
              <w:rPr>
                <w:color w:val="auto"/>
                <w:spacing w:val="-2"/>
                <w:sz w:val="24"/>
              </w:rPr>
            </w:pPr>
            <w:r>
              <w:rPr>
                <w:rFonts w:hint="eastAsia"/>
                <w:color w:val="auto"/>
                <w:spacing w:val="-2"/>
                <w:sz w:val="24"/>
              </w:rPr>
              <w:t>本项目主体建筑物已建成，拟</w:t>
            </w:r>
            <w:r>
              <w:rPr>
                <w:color w:val="auto"/>
                <w:spacing w:val="-2"/>
                <w:sz w:val="24"/>
              </w:rPr>
              <w:t>建</w:t>
            </w:r>
            <w:r>
              <w:rPr>
                <w:rFonts w:hint="eastAsia"/>
                <w:color w:val="auto"/>
                <w:spacing w:val="-2"/>
                <w:sz w:val="24"/>
              </w:rPr>
              <w:t>机制</w:t>
            </w:r>
            <w:r>
              <w:rPr>
                <w:color w:val="auto"/>
                <w:spacing w:val="-2"/>
                <w:sz w:val="24"/>
              </w:rPr>
              <w:t>砂生产线</w:t>
            </w:r>
            <w:r>
              <w:rPr>
                <w:rFonts w:hint="eastAsia"/>
                <w:color w:val="auto"/>
                <w:spacing w:val="-2"/>
                <w:sz w:val="24"/>
              </w:rPr>
              <w:t>也</w:t>
            </w:r>
            <w:r>
              <w:rPr>
                <w:color w:val="auto"/>
                <w:spacing w:val="-2"/>
                <w:sz w:val="24"/>
              </w:rPr>
              <w:t>只是对生产设备进行安装，</w:t>
            </w:r>
            <w:r>
              <w:rPr>
                <w:rFonts w:hint="eastAsia"/>
                <w:color w:val="auto"/>
                <w:spacing w:val="-2"/>
                <w:sz w:val="24"/>
              </w:rPr>
              <w:t>不涉及大型土建工程，因此本环评不进行主体建筑的施工期影响分析。</w:t>
            </w:r>
          </w:p>
          <w:p>
            <w:pPr>
              <w:tabs>
                <w:tab w:val="left" w:pos="5775"/>
              </w:tabs>
              <w:snapToGrid w:val="0"/>
              <w:spacing w:line="360" w:lineRule="auto"/>
              <w:ind w:firstLine="562"/>
              <w:rPr>
                <w:b/>
                <w:bCs/>
                <w:color w:val="auto"/>
                <w:sz w:val="28"/>
                <w:szCs w:val="28"/>
              </w:rPr>
            </w:pPr>
            <w:r>
              <w:rPr>
                <w:b/>
                <w:bCs/>
                <w:color w:val="auto"/>
                <w:sz w:val="28"/>
                <w:szCs w:val="28"/>
              </w:rPr>
              <w:t>（二）营运期</w:t>
            </w:r>
            <w:r>
              <w:rPr>
                <w:rFonts w:hint="eastAsia"/>
                <w:b/>
                <w:bCs/>
                <w:color w:val="auto"/>
                <w:sz w:val="28"/>
                <w:szCs w:val="28"/>
              </w:rPr>
              <w:t>污染工</w:t>
            </w:r>
            <w:r>
              <w:rPr>
                <w:b/>
                <w:bCs/>
                <w:color w:val="auto"/>
                <w:sz w:val="28"/>
                <w:szCs w:val="28"/>
              </w:rPr>
              <w:t>序</w:t>
            </w:r>
          </w:p>
          <w:p>
            <w:pPr>
              <w:pStyle w:val="228"/>
              <w:numPr>
                <w:ilvl w:val="0"/>
                <w:numId w:val="8"/>
              </w:numPr>
              <w:adjustRightInd w:val="0"/>
              <w:snapToGrid w:val="0"/>
              <w:spacing w:line="360" w:lineRule="auto"/>
              <w:ind w:firstLineChars="0"/>
              <w:rPr>
                <w:b/>
                <w:bCs/>
                <w:color w:val="auto"/>
                <w:sz w:val="24"/>
              </w:rPr>
            </w:pPr>
            <w:r>
              <w:rPr>
                <w:b/>
                <w:bCs/>
                <w:color w:val="auto"/>
                <w:sz w:val="24"/>
              </w:rPr>
              <w:t>大气污染源</w:t>
            </w:r>
          </w:p>
          <w:p>
            <w:pPr>
              <w:pStyle w:val="228"/>
              <w:numPr>
                <w:ilvl w:val="0"/>
                <w:numId w:val="9"/>
              </w:numPr>
              <w:autoSpaceDE w:val="0"/>
              <w:autoSpaceDN w:val="0"/>
              <w:adjustRightInd w:val="0"/>
              <w:snapToGrid w:val="0"/>
              <w:spacing w:line="360" w:lineRule="auto"/>
              <w:ind w:firstLineChars="0"/>
              <w:textAlignment w:val="baseline"/>
              <w:rPr>
                <w:b/>
                <w:color w:val="auto"/>
                <w:sz w:val="24"/>
              </w:rPr>
            </w:pPr>
            <w:r>
              <w:rPr>
                <w:b/>
                <w:color w:val="auto"/>
                <w:sz w:val="24"/>
              </w:rPr>
              <w:t>制砂生产线工序粉尘</w:t>
            </w:r>
          </w:p>
          <w:p>
            <w:pPr>
              <w:autoSpaceDE w:val="0"/>
              <w:autoSpaceDN w:val="0"/>
              <w:adjustRightInd w:val="0"/>
              <w:snapToGrid w:val="0"/>
              <w:spacing w:line="360" w:lineRule="auto"/>
              <w:ind w:firstLine="480"/>
              <w:textAlignment w:val="baseline"/>
              <w:rPr>
                <w:color w:val="auto"/>
                <w:spacing w:val="-2"/>
                <w:sz w:val="24"/>
              </w:rPr>
            </w:pPr>
            <w:r>
              <w:rPr>
                <w:color w:val="auto"/>
                <w:spacing w:val="-2"/>
                <w:sz w:val="24"/>
              </w:rPr>
              <w:t>项目所需</w:t>
            </w:r>
            <w:r>
              <w:rPr>
                <w:rFonts w:hint="eastAsia"/>
                <w:color w:val="auto"/>
                <w:spacing w:val="-2"/>
                <w:sz w:val="24"/>
              </w:rPr>
              <w:t>碎石</w:t>
            </w:r>
            <w:r>
              <w:rPr>
                <w:color w:val="auto"/>
                <w:spacing w:val="-2"/>
                <w:sz w:val="24"/>
              </w:rPr>
              <w:t>由</w:t>
            </w:r>
            <w:r>
              <w:rPr>
                <w:rFonts w:hint="eastAsia"/>
                <w:color w:val="auto"/>
                <w:spacing w:val="-2"/>
                <w:sz w:val="24"/>
              </w:rPr>
              <w:t>周边石料厂购买</w:t>
            </w:r>
            <w:r>
              <w:rPr>
                <w:color w:val="auto"/>
                <w:spacing w:val="-2"/>
                <w:sz w:val="24"/>
              </w:rPr>
              <w:t>。</w:t>
            </w:r>
            <w:r>
              <w:rPr>
                <w:rFonts w:hint="eastAsia"/>
                <w:color w:val="auto"/>
                <w:spacing w:val="-2"/>
                <w:sz w:val="24"/>
              </w:rPr>
              <w:t>碎石</w:t>
            </w:r>
            <w:r>
              <w:rPr>
                <w:color w:val="auto"/>
                <w:spacing w:val="-2"/>
                <w:sz w:val="24"/>
              </w:rPr>
              <w:t>由运输车运至砂石原料堆场，所购</w:t>
            </w:r>
            <w:r>
              <w:rPr>
                <w:rFonts w:hint="eastAsia"/>
                <w:color w:val="auto"/>
                <w:spacing w:val="-2"/>
                <w:sz w:val="24"/>
              </w:rPr>
              <w:t>碎石</w:t>
            </w:r>
            <w:r>
              <w:rPr>
                <w:color w:val="auto"/>
                <w:spacing w:val="-2"/>
                <w:sz w:val="24"/>
              </w:rPr>
              <w:t>基本不含泥土，粉尘产生量较少，不做定量分析。根据建设方提供，制砂生产线产生的石粉约为原料的7%，项目制砂生产线原料石年用量5.3万吨，则制砂生产工序石粉产生量为3710t/a</w:t>
            </w:r>
            <w:r>
              <w:rPr>
                <w:rFonts w:hint="eastAsia"/>
                <w:color w:val="auto"/>
                <w:spacing w:val="-2"/>
                <w:sz w:val="24"/>
              </w:rPr>
              <w:t>。石粉大部分自然沉降于灰斗，由运输车辆于灰斗装卸口直接由</w:t>
            </w:r>
            <w:r>
              <w:rPr>
                <w:color w:val="auto"/>
                <w:spacing w:val="-2"/>
                <w:sz w:val="24"/>
              </w:rPr>
              <w:t>密</w:t>
            </w:r>
            <w:r>
              <w:rPr>
                <w:rFonts w:hint="eastAsia"/>
                <w:color w:val="auto"/>
                <w:spacing w:val="-2"/>
                <w:sz w:val="24"/>
              </w:rPr>
              <w:t>闭</w:t>
            </w:r>
            <w:r>
              <w:rPr>
                <w:color w:val="auto"/>
                <w:spacing w:val="-2"/>
                <w:sz w:val="24"/>
              </w:rPr>
              <w:t>罐车接</w:t>
            </w:r>
            <w:r>
              <w:rPr>
                <w:rFonts w:hint="eastAsia"/>
                <w:color w:val="auto"/>
                <w:spacing w:val="-2"/>
                <w:sz w:val="24"/>
              </w:rPr>
              <w:t>装外运至砖厂作为制砖原料。</w:t>
            </w:r>
          </w:p>
          <w:p>
            <w:pPr>
              <w:autoSpaceDE w:val="0"/>
              <w:autoSpaceDN w:val="0"/>
              <w:adjustRightInd w:val="0"/>
              <w:snapToGrid w:val="0"/>
              <w:spacing w:line="360" w:lineRule="auto"/>
              <w:ind w:firstLine="480"/>
              <w:textAlignment w:val="baseline"/>
              <w:rPr>
                <w:color w:val="auto"/>
                <w:spacing w:val="-2"/>
                <w:sz w:val="24"/>
              </w:rPr>
            </w:pPr>
            <w:r>
              <w:rPr>
                <w:color w:val="auto"/>
                <w:spacing w:val="-2"/>
                <w:sz w:val="24"/>
              </w:rPr>
              <w:t>项目所有制砂设备安装在封闭性制砂车间内，在破碎机、筛选机处分别设置</w:t>
            </w:r>
            <w:r>
              <w:rPr>
                <w:rFonts w:hint="eastAsia"/>
                <w:color w:val="auto"/>
                <w:spacing w:val="-2"/>
                <w:sz w:val="24"/>
              </w:rPr>
              <w:t>吸尘口</w:t>
            </w:r>
            <w:r>
              <w:rPr>
                <w:color w:val="auto"/>
                <w:spacing w:val="-2"/>
                <w:sz w:val="24"/>
              </w:rPr>
              <w:t>，粉尘经收集后</w:t>
            </w:r>
            <w:r>
              <w:rPr>
                <w:rFonts w:hint="eastAsia"/>
                <w:color w:val="auto"/>
                <w:spacing w:val="-2"/>
                <w:sz w:val="24"/>
              </w:rPr>
              <w:t>（粉尘产生量约为石粉产生量的10%，则</w:t>
            </w:r>
            <w:r>
              <w:rPr>
                <w:color w:val="auto"/>
                <w:spacing w:val="-2"/>
                <w:sz w:val="24"/>
              </w:rPr>
              <w:t>371</w:t>
            </w:r>
            <w:r>
              <w:rPr>
                <w:rFonts w:hint="eastAsia"/>
                <w:color w:val="auto"/>
                <w:spacing w:val="-2"/>
                <w:sz w:val="24"/>
              </w:rPr>
              <w:t>t/a）</w:t>
            </w:r>
            <w:r>
              <w:rPr>
                <w:color w:val="auto"/>
                <w:spacing w:val="-2"/>
                <w:sz w:val="24"/>
              </w:rPr>
              <w:t>，在引风机（风量为30000m</w:t>
            </w:r>
            <w:r>
              <w:rPr>
                <w:color w:val="auto"/>
                <w:spacing w:val="-2"/>
                <w:sz w:val="24"/>
                <w:vertAlign w:val="superscript"/>
              </w:rPr>
              <w:t>3</w:t>
            </w:r>
            <w:r>
              <w:rPr>
                <w:color w:val="auto"/>
                <w:spacing w:val="-2"/>
                <w:sz w:val="24"/>
              </w:rPr>
              <w:t>/h）吸引下，通过管道输送到脉冲式布袋降尘器进行除尘，净化后的气体由滤袋内部</w:t>
            </w:r>
            <w:r>
              <w:rPr>
                <w:rFonts w:hint="eastAsia"/>
                <w:color w:val="auto"/>
                <w:spacing w:val="-2"/>
                <w:sz w:val="24"/>
              </w:rPr>
              <w:t>进入</w:t>
            </w:r>
            <w:r>
              <w:rPr>
                <w:color w:val="auto"/>
                <w:spacing w:val="-2"/>
                <w:sz w:val="24"/>
              </w:rPr>
              <w:t>上箱体，</w:t>
            </w:r>
            <w:r>
              <w:rPr>
                <w:rFonts w:hint="eastAsia"/>
                <w:color w:val="auto"/>
                <w:spacing w:val="-2"/>
                <w:sz w:val="24"/>
              </w:rPr>
              <w:t>再经</w:t>
            </w:r>
            <w:r>
              <w:rPr>
                <w:color w:val="auto"/>
                <w:spacing w:val="-2"/>
                <w:sz w:val="24"/>
              </w:rPr>
              <w:t>15m</w:t>
            </w:r>
            <w:r>
              <w:rPr>
                <w:rFonts w:hint="eastAsia"/>
                <w:color w:val="auto"/>
                <w:spacing w:val="-2"/>
                <w:sz w:val="24"/>
              </w:rPr>
              <w:t>高</w:t>
            </w:r>
            <w:r>
              <w:rPr>
                <w:color w:val="auto"/>
                <w:spacing w:val="-2"/>
                <w:sz w:val="24"/>
              </w:rPr>
              <w:t>的排</w:t>
            </w:r>
            <w:r>
              <w:rPr>
                <w:rFonts w:hint="eastAsia"/>
                <w:color w:val="auto"/>
                <w:spacing w:val="-2"/>
                <w:sz w:val="24"/>
              </w:rPr>
              <w:t>气</w:t>
            </w:r>
            <w:r>
              <w:rPr>
                <w:color w:val="auto"/>
                <w:spacing w:val="-2"/>
                <w:sz w:val="24"/>
              </w:rPr>
              <w:t>筒</w:t>
            </w:r>
            <w:r>
              <w:rPr>
                <w:rFonts w:hint="eastAsia"/>
                <w:color w:val="auto"/>
                <w:spacing w:val="-2"/>
                <w:sz w:val="24"/>
              </w:rPr>
              <w:t>高空排放</w:t>
            </w:r>
            <w:r>
              <w:rPr>
                <w:color w:val="auto"/>
                <w:spacing w:val="-2"/>
                <w:sz w:val="24"/>
              </w:rPr>
              <w:t>。由于在封闭性制砂车间内生产，项目捕尘效率可达100%，布袋降尘器降尘效率为99.9%。</w:t>
            </w:r>
            <w:r>
              <w:rPr>
                <w:rFonts w:hint="eastAsia"/>
                <w:color w:val="auto"/>
                <w:spacing w:val="-2"/>
                <w:sz w:val="24"/>
              </w:rPr>
              <w:t>除尘器捕捉粉尘最终也回到灰斗。</w:t>
            </w:r>
            <w:r>
              <w:rPr>
                <w:color w:val="auto"/>
                <w:spacing w:val="-2"/>
                <w:sz w:val="24"/>
              </w:rPr>
              <w:t>则此处粉尘排放情况见表5-1</w:t>
            </w:r>
            <w:r>
              <w:rPr>
                <w:rFonts w:hint="eastAsia"/>
                <w:color w:val="auto"/>
                <w:spacing w:val="-2"/>
                <w:sz w:val="24"/>
              </w:rPr>
              <w:t>：</w:t>
            </w:r>
          </w:p>
          <w:p>
            <w:pPr>
              <w:pStyle w:val="2"/>
              <w:snapToGrid w:val="0"/>
              <w:spacing w:line="360" w:lineRule="auto"/>
              <w:ind w:firstLine="0" w:firstLineChars="0"/>
              <w:rPr>
                <w:b/>
                <w:color w:val="auto"/>
                <w:sz w:val="24"/>
                <w:szCs w:val="24"/>
              </w:rPr>
            </w:pPr>
          </w:p>
          <w:p>
            <w:pPr>
              <w:pStyle w:val="2"/>
              <w:ind w:firstLine="482"/>
              <w:jc w:val="center"/>
              <w:rPr>
                <w:b/>
                <w:color w:val="auto"/>
                <w:sz w:val="24"/>
                <w:szCs w:val="24"/>
              </w:rPr>
            </w:pPr>
            <w:r>
              <w:rPr>
                <w:b/>
                <w:color w:val="auto"/>
                <w:sz w:val="24"/>
                <w:szCs w:val="24"/>
              </w:rPr>
              <w:t>表5-1　废气污染物产生和排放情况一览表</w:t>
            </w:r>
          </w:p>
          <w:tbl>
            <w:tblPr>
              <w:tblStyle w:val="29"/>
              <w:tblW w:w="929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30"/>
              <w:gridCol w:w="471"/>
              <w:gridCol w:w="850"/>
              <w:gridCol w:w="1039"/>
              <w:gridCol w:w="850"/>
              <w:gridCol w:w="847"/>
              <w:gridCol w:w="854"/>
              <w:gridCol w:w="709"/>
              <w:gridCol w:w="992"/>
              <w:gridCol w:w="757"/>
              <w:gridCol w:w="865"/>
              <w:gridCol w:w="4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16" w:hRule="atLeast"/>
              </w:trPr>
              <w:tc>
                <w:tcPr>
                  <w:tcW w:w="630" w:type="dxa"/>
                  <w:vMerge w:val="restart"/>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产污工序</w:t>
                  </w:r>
                </w:p>
              </w:tc>
              <w:tc>
                <w:tcPr>
                  <w:tcW w:w="471"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污染物</w:t>
                  </w:r>
                </w:p>
              </w:tc>
              <w:tc>
                <w:tcPr>
                  <w:tcW w:w="850"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排气量(</w:t>
                  </w:r>
                  <w:r>
                    <w:rPr>
                      <w:color w:val="auto"/>
                      <w:spacing w:val="-2"/>
                      <w:sz w:val="24"/>
                    </w:rPr>
                    <w:t>m</w:t>
                  </w:r>
                  <w:r>
                    <w:rPr>
                      <w:color w:val="auto"/>
                      <w:spacing w:val="-2"/>
                      <w:sz w:val="24"/>
                      <w:vertAlign w:val="superscript"/>
                    </w:rPr>
                    <w:t>3</w:t>
                  </w:r>
                  <w:r>
                    <w:rPr>
                      <w:color w:val="auto"/>
                      <w:spacing w:val="-2"/>
                      <w:sz w:val="24"/>
                    </w:rPr>
                    <w:t>/h)</w:t>
                  </w:r>
                </w:p>
              </w:tc>
              <w:tc>
                <w:tcPr>
                  <w:tcW w:w="2736" w:type="dxa"/>
                  <w:gridSpan w:val="3"/>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产生状况</w:t>
                  </w:r>
                </w:p>
              </w:tc>
              <w:tc>
                <w:tcPr>
                  <w:tcW w:w="854"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治理措施</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处理效率</w:t>
                  </w:r>
                </w:p>
              </w:tc>
              <w:tc>
                <w:tcPr>
                  <w:tcW w:w="2614" w:type="dxa"/>
                  <w:gridSpan w:val="3"/>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排放情况</w:t>
                  </w:r>
                </w:p>
              </w:tc>
              <w:tc>
                <w:tcPr>
                  <w:tcW w:w="432" w:type="dxa"/>
                  <w:vMerge w:val="restart"/>
                  <w:tcBorders>
                    <w:top w:val="single" w:color="000000" w:sz="4" w:space="0"/>
                    <w:left w:val="single" w:color="000000" w:sz="4" w:space="0"/>
                    <w:bottom w:val="single" w:color="000000" w:sz="4" w:space="0"/>
                    <w:right w:val="single" w:color="000000" w:sz="4" w:space="0"/>
                  </w:tcBorders>
                </w:tcPr>
                <w:p>
                  <w:pPr>
                    <w:rPr>
                      <w:color w:val="auto"/>
                    </w:rPr>
                  </w:pPr>
                  <w:r>
                    <w:rPr>
                      <w:color w:val="auto"/>
                    </w:rPr>
                    <w:t>排放方式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6" w:hRule="atLeast"/>
              </w:trPr>
              <w:tc>
                <w:tcPr>
                  <w:tcW w:w="630"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c>
                <w:tcPr>
                  <w:tcW w:w="471"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c>
                <w:tcPr>
                  <w:tcW w:w="850"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c>
                <w:tcPr>
                  <w:tcW w:w="1039"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浓度</w:t>
                  </w:r>
                </w:p>
                <w:p>
                  <w:pPr>
                    <w:jc w:val="center"/>
                    <w:rPr>
                      <w:color w:val="auto"/>
                    </w:rPr>
                  </w:pPr>
                  <w:r>
                    <w:rPr>
                      <w:color w:val="auto"/>
                    </w:rPr>
                    <w:t>(mg/m</w:t>
                  </w:r>
                  <w:r>
                    <w:rPr>
                      <w:color w:val="auto"/>
                      <w:vertAlign w:val="superscript"/>
                    </w:rPr>
                    <w:t>3</w:t>
                  </w:r>
                  <w:r>
                    <w:rPr>
                      <w:color w:val="auto"/>
                    </w:rPr>
                    <w:t>)</w:t>
                  </w:r>
                </w:p>
              </w:tc>
              <w:tc>
                <w:tcPr>
                  <w:tcW w:w="850" w:type="dxa"/>
                  <w:tcBorders>
                    <w:top w:val="single" w:color="000000" w:sz="4" w:space="0"/>
                    <w:left w:val="single" w:color="000000" w:sz="4" w:space="0"/>
                    <w:bottom w:val="single" w:color="000000" w:sz="4" w:space="0"/>
                    <w:right w:val="single" w:color="000000" w:sz="4" w:space="0"/>
                  </w:tcBorders>
                </w:tcPr>
                <w:p>
                  <w:pPr>
                    <w:rPr>
                      <w:color w:val="auto"/>
                    </w:rPr>
                  </w:pPr>
                  <w:r>
                    <w:rPr>
                      <w:color w:val="auto"/>
                    </w:rPr>
                    <w:t>速率</w:t>
                  </w:r>
                </w:p>
                <w:p>
                  <w:pPr>
                    <w:rPr>
                      <w:color w:val="auto"/>
                    </w:rPr>
                  </w:pPr>
                  <w:r>
                    <w:rPr>
                      <w:color w:val="auto"/>
                    </w:rPr>
                    <w:t>(kg/h)</w:t>
                  </w:r>
                </w:p>
              </w:tc>
              <w:tc>
                <w:tcPr>
                  <w:tcW w:w="847" w:type="dxa"/>
                  <w:tcBorders>
                    <w:top w:val="single" w:color="000000" w:sz="4" w:space="0"/>
                    <w:left w:val="single" w:color="000000" w:sz="4" w:space="0"/>
                    <w:bottom w:val="single" w:color="000000" w:sz="4" w:space="0"/>
                    <w:right w:val="single" w:color="000000" w:sz="4" w:space="0"/>
                  </w:tcBorders>
                </w:tcPr>
                <w:p>
                  <w:pPr>
                    <w:rPr>
                      <w:color w:val="auto"/>
                    </w:rPr>
                  </w:pPr>
                  <w:r>
                    <w:rPr>
                      <w:color w:val="auto"/>
                    </w:rPr>
                    <w:t>产生量(t/a)</w:t>
                  </w:r>
                </w:p>
              </w:tc>
              <w:tc>
                <w:tcPr>
                  <w:tcW w:w="854"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c>
                <w:tcPr>
                  <w:tcW w:w="709"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c>
                <w:tcPr>
                  <w:tcW w:w="992"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浓度</w:t>
                  </w:r>
                </w:p>
                <w:p>
                  <w:pPr>
                    <w:jc w:val="center"/>
                    <w:rPr>
                      <w:color w:val="auto"/>
                    </w:rPr>
                  </w:pPr>
                  <w:r>
                    <w:rPr>
                      <w:color w:val="auto"/>
                    </w:rPr>
                    <w:t>(mg/m</w:t>
                  </w:r>
                  <w:r>
                    <w:rPr>
                      <w:color w:val="auto"/>
                      <w:vertAlign w:val="superscript"/>
                    </w:rPr>
                    <w:t>3</w:t>
                  </w:r>
                  <w:r>
                    <w:rPr>
                      <w:color w:val="auto"/>
                    </w:rPr>
                    <w:t>)</w:t>
                  </w:r>
                </w:p>
              </w:tc>
              <w:tc>
                <w:tcPr>
                  <w:tcW w:w="757" w:type="dxa"/>
                  <w:tcBorders>
                    <w:top w:val="single" w:color="000000" w:sz="4" w:space="0"/>
                    <w:left w:val="single" w:color="000000" w:sz="4" w:space="0"/>
                    <w:bottom w:val="single" w:color="000000" w:sz="4" w:space="0"/>
                    <w:right w:val="single" w:color="000000" w:sz="4" w:space="0"/>
                  </w:tcBorders>
                </w:tcPr>
                <w:p>
                  <w:pPr>
                    <w:rPr>
                      <w:color w:val="auto"/>
                    </w:rPr>
                  </w:pPr>
                  <w:r>
                    <w:rPr>
                      <w:color w:val="auto"/>
                    </w:rPr>
                    <w:t>速率</w:t>
                  </w:r>
                </w:p>
                <w:p>
                  <w:pPr>
                    <w:rPr>
                      <w:color w:val="auto"/>
                    </w:rPr>
                  </w:pPr>
                  <w:r>
                    <w:rPr>
                      <w:color w:val="auto"/>
                    </w:rPr>
                    <w:t>(kg/h)</w:t>
                  </w:r>
                </w:p>
              </w:tc>
              <w:tc>
                <w:tcPr>
                  <w:tcW w:w="865" w:type="dxa"/>
                  <w:tcBorders>
                    <w:top w:val="single" w:color="000000" w:sz="4" w:space="0"/>
                    <w:left w:val="single" w:color="000000" w:sz="4" w:space="0"/>
                    <w:bottom w:val="single" w:color="000000" w:sz="4" w:space="0"/>
                    <w:right w:val="single" w:color="000000" w:sz="4" w:space="0"/>
                  </w:tcBorders>
                </w:tcPr>
                <w:p>
                  <w:pPr>
                    <w:rPr>
                      <w:color w:val="auto"/>
                    </w:rPr>
                  </w:pPr>
                  <w:r>
                    <w:rPr>
                      <w:color w:val="auto"/>
                    </w:rPr>
                    <w:t>产生量(t/a)</w:t>
                  </w:r>
                </w:p>
              </w:tc>
              <w:tc>
                <w:tcPr>
                  <w:tcW w:w="432" w:type="dxa"/>
                  <w:vMerge w:val="continue"/>
                  <w:tcBorders>
                    <w:top w:val="single" w:color="000000" w:sz="4" w:space="0"/>
                    <w:left w:val="single" w:color="000000" w:sz="4" w:space="0"/>
                    <w:bottom w:val="single" w:color="000000" w:sz="4" w:space="0"/>
                    <w:right w:val="single" w:color="000000" w:sz="4" w:space="0"/>
                  </w:tcBorders>
                </w:tcPr>
                <w:p>
                  <w:pPr>
                    <w:rPr>
                      <w:color w:val="auto"/>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04" w:hRule="atLeast"/>
              </w:trPr>
              <w:tc>
                <w:tcPr>
                  <w:tcW w:w="630"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制砂生产工</w:t>
                  </w:r>
                  <w:r>
                    <w:rPr>
                      <w:rFonts w:hint="eastAsia"/>
                      <w:color w:val="auto"/>
                    </w:rPr>
                    <w:t>序</w:t>
                  </w:r>
                  <w:r>
                    <w:rPr>
                      <w:color w:val="auto"/>
                    </w:rPr>
                    <w:t>粉尘</w:t>
                  </w:r>
                </w:p>
              </w:tc>
              <w:tc>
                <w:tcPr>
                  <w:tcW w:w="471"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颗粒物</w:t>
                  </w:r>
                </w:p>
              </w:tc>
              <w:tc>
                <w:tcPr>
                  <w:tcW w:w="850"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30000</w:t>
                  </w:r>
                </w:p>
              </w:tc>
              <w:tc>
                <w:tcPr>
                  <w:tcW w:w="1039"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2342</w:t>
                  </w:r>
                </w:p>
              </w:tc>
              <w:tc>
                <w:tcPr>
                  <w:tcW w:w="850"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70.3</w:t>
                  </w:r>
                </w:p>
              </w:tc>
              <w:tc>
                <w:tcPr>
                  <w:tcW w:w="847"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371</w:t>
                  </w:r>
                </w:p>
              </w:tc>
              <w:tc>
                <w:tcPr>
                  <w:tcW w:w="854"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封闭性制砂车间，脉冲式布袋除尘器</w:t>
                  </w:r>
                </w:p>
              </w:tc>
              <w:tc>
                <w:tcPr>
                  <w:tcW w:w="709"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收尘效率100%，除尘效率99.9%</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2.34</w:t>
                  </w:r>
                </w:p>
              </w:tc>
              <w:tc>
                <w:tcPr>
                  <w:tcW w:w="757"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0.07</w:t>
                  </w:r>
                </w:p>
              </w:tc>
              <w:tc>
                <w:tcPr>
                  <w:tcW w:w="865"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0.37</w:t>
                  </w:r>
                </w:p>
              </w:tc>
              <w:tc>
                <w:tcPr>
                  <w:tcW w:w="432" w:type="dxa"/>
                  <w:tcBorders>
                    <w:top w:val="single" w:color="000000" w:sz="4" w:space="0"/>
                    <w:left w:val="single" w:color="000000" w:sz="4" w:space="0"/>
                    <w:bottom w:val="single" w:color="000000" w:sz="4" w:space="0"/>
                    <w:right w:val="single" w:color="000000" w:sz="4" w:space="0"/>
                  </w:tcBorders>
                  <w:vAlign w:val="center"/>
                </w:tcPr>
                <w:p>
                  <w:pPr>
                    <w:jc w:val="center"/>
                    <w:rPr>
                      <w:color w:val="auto"/>
                    </w:rPr>
                  </w:pPr>
                  <w:r>
                    <w:rPr>
                      <w:color w:val="auto"/>
                    </w:rPr>
                    <w:t>15m排气筒</w:t>
                  </w:r>
                </w:p>
              </w:tc>
            </w:tr>
          </w:tbl>
          <w:p>
            <w:pPr>
              <w:autoSpaceDE w:val="0"/>
              <w:autoSpaceDN w:val="0"/>
              <w:adjustRightInd w:val="0"/>
              <w:snapToGrid w:val="0"/>
              <w:spacing w:line="360" w:lineRule="auto"/>
              <w:ind w:firstLine="480"/>
              <w:textAlignment w:val="baseline"/>
              <w:rPr>
                <w:color w:val="auto"/>
                <w:sz w:val="24"/>
              </w:rPr>
            </w:pPr>
          </w:p>
          <w:p>
            <w:pPr>
              <w:pStyle w:val="2"/>
              <w:snapToGrid w:val="0"/>
              <w:spacing w:line="360" w:lineRule="auto"/>
              <w:rPr>
                <w:color w:val="auto"/>
              </w:rPr>
            </w:pPr>
            <w:r>
              <w:rPr>
                <w:color w:val="auto"/>
              </w:rPr>
              <w:t>（</w:t>
            </w:r>
            <w:r>
              <w:rPr>
                <w:b/>
                <w:color w:val="auto"/>
                <w:sz w:val="24"/>
                <w:szCs w:val="24"/>
              </w:rPr>
              <w:t>2）混凝土生产线工序粉尘</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fldChar w:fldCharType="begin"/>
            </w:r>
            <w:r>
              <w:rPr>
                <w:rFonts w:hint="eastAsia"/>
                <w:color w:val="auto"/>
                <w:sz w:val="24"/>
              </w:rPr>
              <w:instrText xml:space="preserve">= 1 \* GB3</w:instrText>
            </w:r>
            <w:r>
              <w:rPr>
                <w:color w:val="auto"/>
                <w:sz w:val="24"/>
              </w:rPr>
              <w:fldChar w:fldCharType="separate"/>
            </w:r>
            <w:r>
              <w:rPr>
                <w:rFonts w:hint="eastAsia"/>
                <w:color w:val="auto"/>
                <w:sz w:val="24"/>
              </w:rPr>
              <w:t>①</w:t>
            </w:r>
            <w:r>
              <w:rPr>
                <w:color w:val="auto"/>
                <w:sz w:val="24"/>
              </w:rPr>
              <w:fldChar w:fldCharType="end"/>
            </w:r>
            <w:r>
              <w:rPr>
                <w:color w:val="auto"/>
                <w:sz w:val="24"/>
              </w:rPr>
              <w:t>沙石计量、筒仓投料粉尘</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A、沙石计量投放</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沙子和石子使用时由铲车将原料由堆放场运至料斗内，料斗下设有一个落料口，落料口下设有斗车和计量装置，原料由料斗向斗车内落料时，会产生一定量的粉尘，类比同类项目，落料时粉尘散逸量约为原料总量的0.0005‰，本项目年使用沙子和石子共20</w:t>
            </w:r>
            <w:r>
              <w:rPr>
                <w:rFonts w:hint="eastAsia"/>
                <w:color w:val="auto"/>
                <w:sz w:val="24"/>
              </w:rPr>
              <w:t>万吨</w:t>
            </w:r>
            <w:r>
              <w:rPr>
                <w:color w:val="auto"/>
                <w:sz w:val="24"/>
              </w:rPr>
              <w:t>，粉尘散逸量为0.1t/a。</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项目在装卸料点上方以及料斗上方均设置水雾喷淋装置，可有效降低装卸起尘量，除尘效率按照60%计算，即0.04/a，属无组织排放。</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B、粉料筒仓呼吸口粉尘（有组织排放）</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本项目在水泥、粉煤灰等粉料输送过程中，筒仓呼吸口会产生的粉尘逸出，经生产设备自身配套的脉冲除尘器处理后高空排放，风机风量为3000m</w:t>
            </w:r>
            <w:r>
              <w:rPr>
                <w:color w:val="auto"/>
                <w:sz w:val="24"/>
                <w:vertAlign w:val="superscript"/>
              </w:rPr>
              <w:t>3</w:t>
            </w:r>
            <w:r>
              <w:rPr>
                <w:color w:val="auto"/>
                <w:sz w:val="24"/>
              </w:rPr>
              <w:t>/h，该除尘器的除尘效率可以达到99.9%。详见下表5-2：</w:t>
            </w:r>
          </w:p>
          <w:p>
            <w:pPr>
              <w:pStyle w:val="68"/>
              <w:ind w:firstLine="480"/>
              <w:jc w:val="center"/>
              <w:rPr>
                <w:rFonts w:cs="Times New Roman"/>
                <w:color w:val="auto"/>
                <w:sz w:val="24"/>
              </w:rPr>
            </w:pPr>
          </w:p>
          <w:p>
            <w:pPr>
              <w:pStyle w:val="68"/>
              <w:ind w:firstLine="482"/>
              <w:jc w:val="center"/>
              <w:rPr>
                <w:rFonts w:cs="Times New Roman"/>
                <w:b/>
                <w:bCs/>
                <w:color w:val="auto"/>
                <w:sz w:val="24"/>
              </w:rPr>
            </w:pPr>
            <w:r>
              <w:rPr>
                <w:rFonts w:cs="Times New Roman"/>
                <w:b/>
                <w:bCs/>
                <w:color w:val="auto"/>
                <w:sz w:val="24"/>
              </w:rPr>
              <w:t>表5-2项目设置情况一览表</w:t>
            </w:r>
          </w:p>
          <w:p>
            <w:pPr>
              <w:pStyle w:val="68"/>
              <w:ind w:firstLine="480"/>
              <w:rPr>
                <w:rFonts w:cs="Times New Roman"/>
                <w:color w:val="auto"/>
                <w:sz w:val="24"/>
              </w:rPr>
            </w:pPr>
          </w:p>
          <w:tbl>
            <w:tblPr>
              <w:tblStyle w:val="29"/>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5"/>
              <w:gridCol w:w="1065"/>
              <w:gridCol w:w="1065"/>
              <w:gridCol w:w="1065"/>
              <w:gridCol w:w="2130"/>
              <w:gridCol w:w="1066"/>
              <w:gridCol w:w="10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65"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污染物</w:t>
                  </w:r>
                </w:p>
              </w:tc>
              <w:tc>
                <w:tcPr>
                  <w:tcW w:w="1065"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产</w:t>
                  </w:r>
                  <w:r>
                    <w:rPr>
                      <w:color w:val="auto"/>
                    </w:rPr>
                    <w:cr/>
                  </w:r>
                  <w:r>
                    <w:rPr>
                      <w:color w:val="auto"/>
                    </w:rPr>
                    <w:t>位置</w:t>
                  </w:r>
                </w:p>
              </w:tc>
              <w:tc>
                <w:tcPr>
                  <w:tcW w:w="1065"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产污原料</w:t>
                  </w:r>
                </w:p>
              </w:tc>
              <w:tc>
                <w:tcPr>
                  <w:tcW w:w="1065"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原料年用量</w:t>
                  </w:r>
                </w:p>
              </w:tc>
              <w:tc>
                <w:tcPr>
                  <w:tcW w:w="3196" w:type="dxa"/>
                  <w:gridSpan w:val="2"/>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24m</w:t>
                  </w:r>
                  <w:r>
                    <w:rPr>
                      <w:color w:val="auto"/>
                      <w:vertAlign w:val="superscript"/>
                    </w:rPr>
                    <w:t>2</w:t>
                  </w:r>
                  <w:r>
                    <w:rPr>
                      <w:color w:val="auto"/>
                    </w:rPr>
                    <w:t>脉冲布袋除尘器</w:t>
                  </w:r>
                </w:p>
              </w:tc>
              <w:tc>
                <w:tcPr>
                  <w:tcW w:w="1066"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粉尘排放高度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5"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1065"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1065"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1065"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130"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设计风量</w:t>
                  </w:r>
                </w:p>
              </w:tc>
              <w:tc>
                <w:tcPr>
                  <w:tcW w:w="10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除尘效率</w:t>
                  </w:r>
                </w:p>
              </w:tc>
              <w:tc>
                <w:tcPr>
                  <w:tcW w:w="1066"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粉尘（颗粒物）</w:t>
                  </w:r>
                </w:p>
              </w:tc>
              <w:tc>
                <w:tcPr>
                  <w:tcW w:w="10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筒仓</w:t>
                  </w:r>
                </w:p>
              </w:tc>
              <w:tc>
                <w:tcPr>
                  <w:tcW w:w="10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水泥、</w:t>
                  </w:r>
                  <w:r>
                    <w:rPr>
                      <w:rFonts w:hint="eastAsia"/>
                      <w:color w:val="auto"/>
                    </w:rPr>
                    <w:t>砂</w:t>
                  </w:r>
                  <w:r>
                    <w:rPr>
                      <w:color w:val="auto"/>
                    </w:rPr>
                    <w:t>、粉煤灰</w:t>
                  </w:r>
                </w:p>
              </w:tc>
              <w:tc>
                <w:tcPr>
                  <w:tcW w:w="10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18</w:t>
                  </w:r>
                  <w:r>
                    <w:rPr>
                      <w:rFonts w:hint="eastAsia"/>
                      <w:color w:val="auto"/>
                    </w:rPr>
                    <w:t>万</w:t>
                  </w:r>
                  <w:r>
                    <w:rPr>
                      <w:color w:val="auto"/>
                    </w:rPr>
                    <w:t>吨</w:t>
                  </w:r>
                </w:p>
              </w:tc>
              <w:tc>
                <w:tcPr>
                  <w:tcW w:w="2130"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3000</w:t>
                  </w:r>
                  <w:r>
                    <w:rPr>
                      <w:color w:val="auto"/>
                      <w:sz w:val="24"/>
                    </w:rPr>
                    <w:t>m</w:t>
                  </w:r>
                  <w:r>
                    <w:rPr>
                      <w:color w:val="auto"/>
                      <w:sz w:val="24"/>
                      <w:vertAlign w:val="superscript"/>
                    </w:rPr>
                    <w:t>3</w:t>
                  </w:r>
                  <w:r>
                    <w:rPr>
                      <w:color w:val="auto"/>
                      <w:sz w:val="24"/>
                    </w:rPr>
                    <w:t>/h</w:t>
                  </w:r>
                </w:p>
              </w:tc>
              <w:tc>
                <w:tcPr>
                  <w:tcW w:w="10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sz w:val="24"/>
                    </w:rPr>
                    <w:t>99.9%</w:t>
                  </w:r>
                </w:p>
              </w:tc>
              <w:tc>
                <w:tcPr>
                  <w:tcW w:w="1066"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20m</w:t>
                  </w:r>
                </w:p>
              </w:tc>
            </w:tr>
          </w:tbl>
          <w:p>
            <w:pPr>
              <w:autoSpaceDE w:val="0"/>
              <w:autoSpaceDN w:val="0"/>
              <w:adjustRightInd w:val="0"/>
              <w:snapToGrid w:val="0"/>
              <w:spacing w:line="500" w:lineRule="exact"/>
              <w:ind w:firstLine="480" w:firstLineChars="200"/>
              <w:jc w:val="left"/>
              <w:textAlignment w:val="baseline"/>
              <w:rPr>
                <w:color w:val="auto"/>
                <w:sz w:val="24"/>
              </w:rPr>
            </w:pPr>
            <w:r>
              <w:rPr>
                <w:color w:val="auto"/>
                <w:sz w:val="24"/>
              </w:rPr>
              <w:t>项目所用粉料水泥、粉煤灰在密闭的管道内进行输送，筒仓内的空气从筒仓顶部呼吸口排出，此过程会产生一定量的粉尘。根据《第一次全国污染源普查工业污染源产排污系数手册》（2010年修订），3121水泥制品制造业（含3122混凝土结构构件、3129其他水泥制品业），项目粉尘的产排污系数见表5-3。</w:t>
            </w:r>
          </w:p>
          <w:p>
            <w:pPr>
              <w:autoSpaceDE w:val="0"/>
              <w:autoSpaceDN w:val="0"/>
              <w:adjustRightInd w:val="0"/>
              <w:snapToGrid w:val="0"/>
              <w:spacing w:before="120" w:beforeLines="50" w:after="120" w:afterLines="50" w:line="500" w:lineRule="exact"/>
              <w:jc w:val="center"/>
              <w:textAlignment w:val="baseline"/>
              <w:rPr>
                <w:color w:val="auto"/>
                <w:sz w:val="24"/>
              </w:rPr>
            </w:pPr>
            <w:r>
              <w:rPr>
                <w:b/>
                <w:bCs/>
                <w:color w:val="auto"/>
                <w:sz w:val="24"/>
              </w:rPr>
              <w:t>表5-4水泥制品制造业（含混凝土结构构件、其他水泥制品业）产排污系数一览表</w:t>
            </w:r>
          </w:p>
          <w:tbl>
            <w:tblPr>
              <w:tblStyle w:val="29"/>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6"/>
              <w:gridCol w:w="1316"/>
              <w:gridCol w:w="1316"/>
              <w:gridCol w:w="1316"/>
              <w:gridCol w:w="1316"/>
              <w:gridCol w:w="1316"/>
              <w:gridCol w:w="13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产品名称</w:t>
                  </w:r>
                </w:p>
              </w:tc>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原料名称</w:t>
                  </w:r>
                </w:p>
              </w:tc>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工艺名称</w:t>
                  </w:r>
                </w:p>
              </w:tc>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规模等级</w:t>
                  </w:r>
                </w:p>
              </w:tc>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污染物指标</w:t>
                  </w:r>
                </w:p>
              </w:tc>
              <w:tc>
                <w:tcPr>
                  <w:tcW w:w="1316"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单位</w:t>
                  </w:r>
                </w:p>
              </w:tc>
              <w:tc>
                <w:tcPr>
                  <w:tcW w:w="1317" w:type="dxa"/>
                  <w:tcBorders>
                    <w:top w:val="single" w:color="auto" w:sz="4" w:space="0"/>
                    <w:left w:val="single" w:color="auto" w:sz="4" w:space="0"/>
                    <w:bottom w:val="single" w:color="auto" w:sz="4" w:space="0"/>
                    <w:right w:val="single" w:color="auto" w:sz="4" w:space="0"/>
                  </w:tcBorders>
                </w:tcPr>
                <w:p>
                  <w:pPr>
                    <w:autoSpaceDE w:val="0"/>
                    <w:autoSpaceDN w:val="0"/>
                    <w:adjustRightInd w:val="0"/>
                    <w:snapToGrid w:val="0"/>
                    <w:jc w:val="center"/>
                    <w:textAlignment w:val="baseline"/>
                    <w:rPr>
                      <w:color w:val="auto"/>
                      <w:sz w:val="22"/>
                      <w:szCs w:val="22"/>
                    </w:rPr>
                  </w:pPr>
                  <w:r>
                    <w:rPr>
                      <w:color w:val="auto"/>
                      <w:sz w:val="22"/>
                      <w:szCs w:val="22"/>
                    </w:rPr>
                    <w:t>产污系数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1316"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各种水泥制品</w:t>
                  </w:r>
                </w:p>
              </w:tc>
              <w:tc>
                <w:tcPr>
                  <w:tcW w:w="1316"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水泥、沙子、</w:t>
                  </w:r>
                  <w:r>
                    <w:rPr>
                      <w:rFonts w:hint="eastAsia"/>
                      <w:color w:val="auto"/>
                      <w:sz w:val="22"/>
                      <w:szCs w:val="22"/>
                    </w:rPr>
                    <w:t>粉</w:t>
                  </w:r>
                  <w:r>
                    <w:rPr>
                      <w:color w:val="auto"/>
                      <w:sz w:val="22"/>
                      <w:szCs w:val="22"/>
                    </w:rPr>
                    <w:t>煤灰</w:t>
                  </w:r>
                </w:p>
              </w:tc>
              <w:tc>
                <w:tcPr>
                  <w:tcW w:w="1316"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物料输送储存工序</w:t>
                  </w:r>
                </w:p>
              </w:tc>
              <w:tc>
                <w:tcPr>
                  <w:tcW w:w="1316"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所有规模</w:t>
                  </w:r>
                </w:p>
              </w:tc>
              <w:tc>
                <w:tcPr>
                  <w:tcW w:w="1316"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工业废气量</w:t>
                  </w:r>
                </w:p>
              </w:tc>
              <w:tc>
                <w:tcPr>
                  <w:tcW w:w="1316"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Nm</w:t>
                  </w:r>
                  <w:r>
                    <w:rPr>
                      <w:color w:val="auto"/>
                      <w:sz w:val="22"/>
                      <w:szCs w:val="22"/>
                      <w:vertAlign w:val="superscript"/>
                    </w:rPr>
                    <w:t>3</w:t>
                  </w:r>
                  <w:r>
                    <w:rPr>
                      <w:color w:val="auto"/>
                      <w:sz w:val="22"/>
                      <w:szCs w:val="22"/>
                    </w:rPr>
                    <w:t>/t</w:t>
                  </w:r>
                  <w:r>
                    <w:rPr>
                      <w:color w:val="auto"/>
                      <w:sz w:val="24"/>
                    </w:rPr>
                    <w:t>·水泥</w:t>
                  </w:r>
                </w:p>
              </w:tc>
              <w:tc>
                <w:tcPr>
                  <w:tcW w:w="131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460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1316"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rPr>
                  </w:pPr>
                </w:p>
              </w:tc>
              <w:tc>
                <w:tcPr>
                  <w:tcW w:w="1316"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rPr>
                  </w:pPr>
                </w:p>
              </w:tc>
              <w:tc>
                <w:tcPr>
                  <w:tcW w:w="1316"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rPr>
                  </w:pPr>
                </w:p>
              </w:tc>
              <w:tc>
                <w:tcPr>
                  <w:tcW w:w="1316"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rPr>
                  </w:pPr>
                </w:p>
              </w:tc>
              <w:tc>
                <w:tcPr>
                  <w:tcW w:w="1316"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工业粉尘</w:t>
                  </w:r>
                </w:p>
              </w:tc>
              <w:tc>
                <w:tcPr>
                  <w:tcW w:w="1316"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Kg/t</w:t>
                  </w:r>
                  <w:r>
                    <w:rPr>
                      <w:color w:val="auto"/>
                      <w:sz w:val="24"/>
                    </w:rPr>
                    <w:t>·水泥</w:t>
                  </w:r>
                </w:p>
              </w:tc>
              <w:tc>
                <w:tcPr>
                  <w:tcW w:w="131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2"/>
                      <w:szCs w:val="22"/>
                    </w:rPr>
                  </w:pPr>
                  <w:r>
                    <w:rPr>
                      <w:color w:val="auto"/>
                      <w:sz w:val="22"/>
                      <w:szCs w:val="22"/>
                    </w:rPr>
                    <w:t>2.09</w:t>
                  </w:r>
                </w:p>
              </w:tc>
            </w:tr>
          </w:tbl>
          <w:p>
            <w:pPr>
              <w:autoSpaceDE w:val="0"/>
              <w:autoSpaceDN w:val="0"/>
              <w:adjustRightInd w:val="0"/>
              <w:snapToGrid w:val="0"/>
              <w:spacing w:line="500" w:lineRule="exact"/>
              <w:ind w:firstLine="480" w:firstLineChars="200"/>
              <w:jc w:val="left"/>
              <w:textAlignment w:val="baseline"/>
              <w:rPr>
                <w:color w:val="auto"/>
                <w:sz w:val="24"/>
              </w:rPr>
            </w:pPr>
            <w:r>
              <w:rPr>
                <w:color w:val="auto"/>
                <w:sz w:val="24"/>
              </w:rPr>
              <w:t>结合表5-2主要产污原料用量和表5-3的产排污系数，项目有组织废气的产生及排放情况详见表5-5。</w:t>
            </w:r>
          </w:p>
          <w:p>
            <w:pPr>
              <w:autoSpaceDE w:val="0"/>
              <w:autoSpaceDN w:val="0"/>
              <w:adjustRightInd w:val="0"/>
              <w:snapToGrid w:val="0"/>
              <w:spacing w:line="500" w:lineRule="exact"/>
              <w:ind w:firstLine="482" w:firstLineChars="200"/>
              <w:jc w:val="center"/>
              <w:textAlignment w:val="baseline"/>
              <w:rPr>
                <w:b/>
                <w:bCs/>
                <w:color w:val="auto"/>
                <w:sz w:val="24"/>
              </w:rPr>
            </w:pPr>
            <w:r>
              <w:rPr>
                <w:b/>
                <w:bCs/>
                <w:color w:val="auto"/>
                <w:sz w:val="24"/>
              </w:rPr>
              <w:t>表5-5项目有组织废气的产排情况表</w:t>
            </w:r>
          </w:p>
          <w:tbl>
            <w:tblPr>
              <w:tblStyle w:val="29"/>
              <w:tblW w:w="92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9"/>
              <w:gridCol w:w="1013"/>
              <w:gridCol w:w="1151"/>
              <w:gridCol w:w="1152"/>
              <w:gridCol w:w="1152"/>
              <w:gridCol w:w="1152"/>
              <w:gridCol w:w="1152"/>
              <w:gridCol w:w="1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left"/>
                    <w:textAlignment w:val="baseline"/>
                    <w:rPr>
                      <w:color w:val="auto"/>
                      <w:sz w:val="24"/>
                    </w:rPr>
                  </w:pPr>
                  <w:r>
                    <w:rPr>
                      <w:color w:val="auto"/>
                      <w:sz w:val="24"/>
                    </w:rPr>
                    <w:t>污染源</w:t>
                  </w:r>
                </w:p>
              </w:tc>
              <w:tc>
                <w:tcPr>
                  <w:tcW w:w="1013" w:type="dxa"/>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left"/>
                    <w:textAlignment w:val="baseline"/>
                    <w:rPr>
                      <w:color w:val="auto"/>
                      <w:sz w:val="24"/>
                    </w:rPr>
                  </w:pPr>
                  <w:r>
                    <w:rPr>
                      <w:color w:val="auto"/>
                      <w:sz w:val="24"/>
                    </w:rPr>
                    <w:t>废气量</w:t>
                  </w:r>
                </w:p>
                <w:p>
                  <w:pPr>
                    <w:autoSpaceDE w:val="0"/>
                    <w:autoSpaceDN w:val="0"/>
                    <w:adjustRightInd w:val="0"/>
                    <w:snapToGrid w:val="0"/>
                    <w:jc w:val="left"/>
                    <w:textAlignment w:val="baseline"/>
                    <w:rPr>
                      <w:color w:val="auto"/>
                      <w:sz w:val="24"/>
                    </w:rPr>
                  </w:pPr>
                  <w:r>
                    <w:rPr>
                      <w:color w:val="auto"/>
                      <w:sz w:val="24"/>
                    </w:rPr>
                    <w:t>万m</w:t>
                  </w:r>
                  <w:r>
                    <w:rPr>
                      <w:color w:val="auto"/>
                      <w:sz w:val="24"/>
                      <w:vertAlign w:val="superscript"/>
                    </w:rPr>
                    <w:t>3</w:t>
                  </w:r>
                  <w:r>
                    <w:rPr>
                      <w:color w:val="auto"/>
                      <w:sz w:val="24"/>
                    </w:rPr>
                    <w:t>/a</w:t>
                  </w:r>
                </w:p>
              </w:tc>
              <w:tc>
                <w:tcPr>
                  <w:tcW w:w="3455" w:type="dxa"/>
                  <w:gridSpan w:val="3"/>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粉尘产生情况</w:t>
                  </w:r>
                </w:p>
              </w:tc>
              <w:tc>
                <w:tcPr>
                  <w:tcW w:w="3456" w:type="dxa"/>
                  <w:gridSpan w:val="3"/>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粉尘排放情况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left"/>
                    <w:textAlignment w:val="baseline"/>
                    <w:rPr>
                      <w:color w:val="auto"/>
                      <w:sz w:val="24"/>
                    </w:rPr>
                  </w:pPr>
                </w:p>
              </w:tc>
              <w:tc>
                <w:tcPr>
                  <w:tcW w:w="1013" w:type="dxa"/>
                  <w:vMerge w:val="continue"/>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left"/>
                    <w:textAlignment w:val="baseline"/>
                    <w:rPr>
                      <w:color w:val="auto"/>
                      <w:sz w:val="24"/>
                    </w:rPr>
                  </w:pPr>
                </w:p>
              </w:tc>
              <w:tc>
                <w:tcPr>
                  <w:tcW w:w="1151"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产生浓度（mg/m³）</w:t>
                  </w:r>
                </w:p>
              </w:tc>
              <w:tc>
                <w:tcPr>
                  <w:tcW w:w="1152"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产生速率（kg/h）</w:t>
                  </w:r>
                </w:p>
              </w:tc>
              <w:tc>
                <w:tcPr>
                  <w:tcW w:w="1152"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粉尘总产生量（t/a）</w:t>
                  </w:r>
                </w:p>
              </w:tc>
              <w:tc>
                <w:tcPr>
                  <w:tcW w:w="1152"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排放浓度（mg/m³）</w:t>
                  </w:r>
                </w:p>
              </w:tc>
              <w:tc>
                <w:tcPr>
                  <w:tcW w:w="1152"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排放速率（kg/h）</w:t>
                  </w:r>
                </w:p>
              </w:tc>
              <w:tc>
                <w:tcPr>
                  <w:tcW w:w="1152" w:type="dxa"/>
                  <w:tcBorders>
                    <w:top w:val="single" w:color="auto" w:sz="4" w:space="0"/>
                    <w:left w:val="single" w:color="auto" w:sz="4" w:space="0"/>
                    <w:bottom w:val="single" w:color="auto" w:sz="4" w:space="0"/>
                    <w:right w:val="single" w:color="auto" w:sz="4" w:space="0"/>
                  </w:tcBorders>
                  <w:vAlign w:val="center"/>
                </w:tcPr>
                <w:p>
                  <w:pPr>
                    <w:pStyle w:val="185"/>
                    <w:snapToGrid w:val="0"/>
                    <w:rPr>
                      <w:rFonts w:ascii="Times New Roman" w:hAnsi="Times New Roman"/>
                      <w:color w:val="auto"/>
                      <w:sz w:val="24"/>
                    </w:rPr>
                  </w:pPr>
                  <w:r>
                    <w:rPr>
                      <w:rFonts w:ascii="Times New Roman" w:hAnsi="Times New Roman"/>
                      <w:color w:val="auto"/>
                      <w:sz w:val="21"/>
                    </w:rPr>
                    <w:t>排放量（t/a）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9"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筒仓粉尘</w:t>
                  </w:r>
                </w:p>
              </w:tc>
              <w:tc>
                <w:tcPr>
                  <w:tcW w:w="1013"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8280</w:t>
                  </w:r>
                </w:p>
              </w:tc>
              <w:tc>
                <w:tcPr>
                  <w:tcW w:w="1151"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4543.5</w:t>
                  </w:r>
                </w:p>
              </w:tc>
              <w:tc>
                <w:tcPr>
                  <w:tcW w:w="1152"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71.25</w:t>
                  </w:r>
                </w:p>
              </w:tc>
              <w:tc>
                <w:tcPr>
                  <w:tcW w:w="1152"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376.2</w:t>
                  </w:r>
                </w:p>
              </w:tc>
              <w:tc>
                <w:tcPr>
                  <w:tcW w:w="1152"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4.54</w:t>
                  </w:r>
                </w:p>
              </w:tc>
              <w:tc>
                <w:tcPr>
                  <w:tcW w:w="1152"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0.071</w:t>
                  </w:r>
                </w:p>
              </w:tc>
              <w:tc>
                <w:tcPr>
                  <w:tcW w:w="1152"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jc w:val="center"/>
                    <w:textAlignment w:val="baseline"/>
                    <w:rPr>
                      <w:color w:val="auto"/>
                      <w:sz w:val="24"/>
                    </w:rPr>
                  </w:pPr>
                  <w:r>
                    <w:rPr>
                      <w:color w:val="auto"/>
                      <w:sz w:val="24"/>
                    </w:rPr>
                    <w:t>0.38</w:t>
                  </w:r>
                </w:p>
              </w:tc>
            </w:tr>
          </w:tbl>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由表5-4可知，</w:t>
            </w:r>
            <w:r>
              <w:rPr>
                <w:rFonts w:hint="eastAsia"/>
                <w:color w:val="auto"/>
                <w:sz w:val="24"/>
              </w:rPr>
              <w:t>筒</w:t>
            </w:r>
            <w:r>
              <w:rPr>
                <w:color w:val="auto"/>
                <w:sz w:val="24"/>
              </w:rPr>
              <w:t>仓</w:t>
            </w:r>
            <w:r>
              <w:rPr>
                <w:rFonts w:hint="eastAsia"/>
                <w:color w:val="auto"/>
                <w:sz w:val="24"/>
              </w:rPr>
              <w:t>呼吸</w:t>
            </w:r>
            <w:r>
              <w:rPr>
                <w:color w:val="auto"/>
                <w:sz w:val="24"/>
              </w:rPr>
              <w:t>孔除尘</w:t>
            </w:r>
            <w:r>
              <w:rPr>
                <w:rFonts w:hint="eastAsia"/>
                <w:color w:val="auto"/>
                <w:sz w:val="24"/>
              </w:rPr>
              <w:t>器</w:t>
            </w:r>
            <w:r>
              <w:rPr>
                <w:color w:val="auto"/>
                <w:sz w:val="24"/>
              </w:rPr>
              <w:t>收集的粉尘为375.82 t/a</w:t>
            </w:r>
            <w:r>
              <w:rPr>
                <w:rFonts w:hint="eastAsia"/>
                <w:color w:val="auto"/>
                <w:sz w:val="24"/>
              </w:rPr>
              <w:t>，</w:t>
            </w:r>
            <w:r>
              <w:rPr>
                <w:color w:val="auto"/>
                <w:sz w:val="24"/>
              </w:rPr>
              <w:t>其余</w:t>
            </w:r>
            <w:r>
              <w:rPr>
                <w:rFonts w:hint="eastAsia"/>
                <w:color w:val="auto"/>
                <w:sz w:val="24"/>
              </w:rPr>
              <w:t>0.</w:t>
            </w:r>
            <w:r>
              <w:rPr>
                <w:color w:val="auto"/>
                <w:sz w:val="24"/>
              </w:rPr>
              <w:t>38 t/a</w:t>
            </w:r>
            <w:r>
              <w:rPr>
                <w:rFonts w:hint="eastAsia"/>
                <w:color w:val="auto"/>
                <w:sz w:val="24"/>
              </w:rPr>
              <w:t>经筒仓</w:t>
            </w:r>
            <w:r>
              <w:rPr>
                <w:color w:val="auto"/>
                <w:sz w:val="24"/>
              </w:rPr>
              <w:t>呼吸口</w:t>
            </w:r>
            <w:r>
              <w:rPr>
                <w:rFonts w:hint="eastAsia"/>
                <w:color w:val="auto"/>
                <w:sz w:val="24"/>
              </w:rPr>
              <w:t>向</w:t>
            </w:r>
            <w:r>
              <w:rPr>
                <w:color w:val="auto"/>
                <w:sz w:val="24"/>
              </w:rPr>
              <w:t>高空排放。项目筒仓呼吸孔粉尘排放浓度为4.54mg/m</w:t>
            </w:r>
            <w:r>
              <w:rPr>
                <w:color w:val="auto"/>
                <w:sz w:val="24"/>
                <w:vertAlign w:val="superscript"/>
              </w:rPr>
              <w:t>3</w:t>
            </w:r>
            <w:r>
              <w:rPr>
                <w:color w:val="auto"/>
                <w:sz w:val="24"/>
              </w:rPr>
              <w:t>，可以满足《水泥工业大气污染物排放标准》（GB4915-2013）表1中水泥制品生产的颗粒物浓度10mg/m</w:t>
            </w:r>
            <w:r>
              <w:rPr>
                <w:color w:val="auto"/>
                <w:sz w:val="24"/>
                <w:vertAlign w:val="superscript"/>
              </w:rPr>
              <w:t xml:space="preserve">3 </w:t>
            </w:r>
            <w:r>
              <w:rPr>
                <w:color w:val="auto"/>
                <w:sz w:val="24"/>
              </w:rPr>
              <w:t>的要求。</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fldChar w:fldCharType="begin"/>
            </w:r>
            <w:r>
              <w:rPr>
                <w:rFonts w:hint="eastAsia"/>
                <w:color w:val="auto"/>
                <w:sz w:val="24"/>
              </w:rPr>
              <w:instrText xml:space="preserve">= 2 \* GB3</w:instrText>
            </w:r>
            <w:r>
              <w:rPr>
                <w:color w:val="auto"/>
                <w:sz w:val="24"/>
              </w:rPr>
              <w:fldChar w:fldCharType="separate"/>
            </w:r>
            <w:r>
              <w:rPr>
                <w:rFonts w:hint="eastAsia"/>
                <w:color w:val="auto"/>
                <w:sz w:val="24"/>
              </w:rPr>
              <w:t>②</w:t>
            </w:r>
            <w:r>
              <w:rPr>
                <w:color w:val="auto"/>
                <w:sz w:val="24"/>
              </w:rPr>
              <w:fldChar w:fldCharType="end"/>
            </w:r>
            <w:r>
              <w:rPr>
                <w:color w:val="auto"/>
                <w:sz w:val="24"/>
              </w:rPr>
              <w:t>搅拌系统产生的粉尘</w:t>
            </w:r>
          </w:p>
          <w:p>
            <w:pPr>
              <w:autoSpaceDE w:val="0"/>
              <w:autoSpaceDN w:val="0"/>
              <w:adjustRightInd w:val="0"/>
              <w:snapToGrid w:val="0"/>
              <w:spacing w:line="360" w:lineRule="auto"/>
              <w:ind w:firstLine="480"/>
              <w:jc w:val="left"/>
              <w:textAlignment w:val="baseline"/>
              <w:rPr>
                <w:color w:val="auto"/>
                <w:sz w:val="24"/>
              </w:rPr>
            </w:pPr>
            <w:r>
              <w:rPr>
                <w:color w:val="auto"/>
                <w:sz w:val="24"/>
              </w:rPr>
              <w:t>本项目搅拌机拌料时需加水搅拌，由于物料含水率较高，搅拌过程中粉尘产生量不大，搅拌机粉尘主要产生在粉状原料下料至搅拌机的过程中，搅拌机下料粉尘产生系数为0.4kg/t 物料，项目搅拌机粉状原料下料量为18</w:t>
            </w:r>
            <w:r>
              <w:rPr>
                <w:rFonts w:hint="eastAsia"/>
                <w:color w:val="auto"/>
                <w:sz w:val="24"/>
              </w:rPr>
              <w:t>万</w:t>
            </w:r>
            <w:r>
              <w:rPr>
                <w:color w:val="auto"/>
                <w:sz w:val="24"/>
              </w:rPr>
              <w:t>t/a，则下料粉尘产生量为72t/a，项目1套搅拌机配备有1套袋式除尘器，除尘效率为99.9%，则除尘器收集的粉尘量为71.93t/a，这部分粉尘经卸料阀重新进入搅拌机用于生产；剩余0.07t/a 的粉尘经除尘器排气孔无组织排放。</w:t>
            </w:r>
          </w:p>
          <w:p>
            <w:pPr>
              <w:autoSpaceDE w:val="0"/>
              <w:autoSpaceDN w:val="0"/>
              <w:adjustRightInd w:val="0"/>
              <w:snapToGrid w:val="0"/>
              <w:spacing w:line="360" w:lineRule="auto"/>
              <w:ind w:firstLine="482" w:firstLineChars="200"/>
              <w:jc w:val="left"/>
              <w:textAlignment w:val="baseline"/>
              <w:rPr>
                <w:b/>
                <w:color w:val="auto"/>
                <w:sz w:val="24"/>
              </w:rPr>
            </w:pPr>
            <w:r>
              <w:rPr>
                <w:b/>
                <w:color w:val="auto"/>
                <w:sz w:val="24"/>
              </w:rPr>
              <w:t>（3）沙</w:t>
            </w:r>
            <w:r>
              <w:rPr>
                <w:rFonts w:hint="eastAsia"/>
                <w:b/>
                <w:color w:val="auto"/>
                <w:sz w:val="24"/>
              </w:rPr>
              <w:t>、</w:t>
            </w:r>
            <w:r>
              <w:rPr>
                <w:b/>
                <w:color w:val="auto"/>
                <w:sz w:val="24"/>
              </w:rPr>
              <w:t>石的装卸扬尘量</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根据建设方提供资料，项目生产过程使用的水泥、粉煤灰不设置堆场，由供应商专门送货上门采用水泥罐、煤灰粉罐储存。碎石原料、成品砂堆放在三面封闭式原料堆棚内，因此堆场粉尘主要来源于沙的装卸扬尘。这些粉尘以无组织形式排放。其起尘量与装卸高度H、砂子含水量W，风速V等有关。</w:t>
            </w:r>
          </w:p>
          <w:p>
            <w:pPr>
              <w:pStyle w:val="2"/>
              <w:snapToGrid w:val="0"/>
              <w:spacing w:line="360" w:lineRule="auto"/>
              <w:jc w:val="center"/>
              <w:rPr>
                <w:color w:val="auto"/>
              </w:rPr>
            </w:pPr>
            <w:r>
              <w:rPr>
                <w:color w:val="auto"/>
              </w:rPr>
              <w:drawing>
                <wp:inline distT="0" distB="0" distL="0" distR="0">
                  <wp:extent cx="2415540" cy="319405"/>
                  <wp:effectExtent l="0" t="0" r="0" b="0"/>
                  <wp:docPr id="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415540" cy="319405"/>
                          </a:xfrm>
                          <a:prstGeom prst="rect">
                            <a:avLst/>
                          </a:prstGeom>
                          <a:noFill/>
                          <a:ln>
                            <a:noFill/>
                          </a:ln>
                        </pic:spPr>
                      </pic:pic>
                    </a:graphicData>
                  </a:graphic>
                </wp:inline>
              </w:drawing>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式中： Q——起尘量，kg/a；</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H——装卸平均高度，m；取1.5m</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Gi——年装卸量，t；</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Vi——50m上空的风速，取砂子启动风速3.2m/s；</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W——含水量（项目砂石含水率取5%）；</w:t>
            </w:r>
          </w:p>
          <w:p>
            <w:pPr>
              <w:autoSpaceDE w:val="0"/>
              <w:autoSpaceDN w:val="0"/>
              <w:adjustRightInd w:val="0"/>
              <w:snapToGrid w:val="0"/>
              <w:spacing w:line="360" w:lineRule="auto"/>
              <w:ind w:firstLine="480" w:firstLineChars="200"/>
              <w:jc w:val="left"/>
              <w:textAlignment w:val="baseline"/>
              <w:rPr>
                <w:color w:val="auto"/>
                <w:sz w:val="24"/>
              </w:rPr>
            </w:pPr>
            <w:r>
              <w:rPr>
                <w:color w:val="auto"/>
                <w:sz w:val="24"/>
              </w:rPr>
              <w:t>fi——风速的年频率（年均风速为2.1m/s，风频率为14%）；</w:t>
            </w:r>
          </w:p>
          <w:p>
            <w:pPr>
              <w:autoSpaceDE w:val="0"/>
              <w:autoSpaceDN w:val="0"/>
              <w:adjustRightInd w:val="0"/>
              <w:snapToGrid w:val="0"/>
              <w:spacing w:line="360" w:lineRule="auto"/>
              <w:ind w:firstLine="480"/>
              <w:textAlignment w:val="baseline"/>
              <w:rPr>
                <w:color w:val="auto"/>
                <w:spacing w:val="-2"/>
                <w:sz w:val="24"/>
              </w:rPr>
            </w:pPr>
            <w:r>
              <w:rPr>
                <w:color w:val="auto"/>
                <w:sz w:val="24"/>
              </w:rPr>
              <w:t>a——大气降雨修正</w:t>
            </w:r>
            <w:r>
              <w:rPr>
                <w:color w:val="auto"/>
                <w:spacing w:val="-2"/>
                <w:sz w:val="24"/>
              </w:rPr>
              <w:t>系数（取0.35）。</w:t>
            </w:r>
          </w:p>
          <w:p>
            <w:pPr>
              <w:autoSpaceDE w:val="0"/>
              <w:autoSpaceDN w:val="0"/>
              <w:adjustRightInd w:val="0"/>
              <w:snapToGrid w:val="0"/>
              <w:spacing w:line="360" w:lineRule="auto"/>
              <w:ind w:firstLine="480"/>
              <w:textAlignment w:val="baseline"/>
              <w:rPr>
                <w:color w:val="auto"/>
                <w:spacing w:val="-2"/>
                <w:sz w:val="24"/>
              </w:rPr>
            </w:pPr>
            <w:r>
              <w:rPr>
                <w:color w:val="auto"/>
                <w:spacing w:val="-2"/>
                <w:sz w:val="24"/>
              </w:rPr>
              <w:t>经计算，不采取任何防尘措施，项目沙的装卸扬尘量为1.53t/a。项目料场采用半封闭封装，在场内顶部以及材料周围装置喷淋洒水装置，定期对原料堆场表层洒水，其抑尘效率可达到88%以上，且砂在吸收水分后，增加了其自身重量，经重力沉降比例较大，多沉降在厂区范围内。因此，在采取上述措施后，装卸料过程产生的扬尘量为0.18t/a。</w:t>
            </w:r>
          </w:p>
          <w:p>
            <w:pPr>
              <w:pStyle w:val="228"/>
              <w:autoSpaceDE w:val="0"/>
              <w:autoSpaceDN w:val="0"/>
              <w:adjustRightInd w:val="0"/>
              <w:snapToGrid w:val="0"/>
              <w:spacing w:line="360" w:lineRule="auto"/>
              <w:ind w:left="210" w:leftChars="100" w:firstLine="482"/>
              <w:textAlignment w:val="baseline"/>
              <w:rPr>
                <w:b/>
                <w:color w:val="auto"/>
                <w:sz w:val="24"/>
              </w:rPr>
            </w:pPr>
            <w:r>
              <w:rPr>
                <w:b/>
                <w:color w:val="auto"/>
                <w:sz w:val="24"/>
              </w:rPr>
              <w:t>（4）运输车辆动力起尘</w:t>
            </w:r>
          </w:p>
          <w:p>
            <w:pPr>
              <w:autoSpaceDE w:val="0"/>
              <w:autoSpaceDN w:val="0"/>
              <w:adjustRightInd w:val="0"/>
              <w:snapToGrid w:val="0"/>
              <w:spacing w:line="360" w:lineRule="auto"/>
              <w:ind w:firstLine="480"/>
              <w:jc w:val="left"/>
              <w:textAlignment w:val="baseline"/>
              <w:rPr>
                <w:color w:val="auto"/>
                <w:sz w:val="24"/>
              </w:rPr>
            </w:pPr>
            <w:r>
              <w:rPr>
                <w:color w:val="auto"/>
                <w:sz w:val="24"/>
              </w:rPr>
              <w:t>车辆行驶产生的扬尘，在道路完全干燥的情况下，可按下列经验公式计算：</w:t>
            </w:r>
          </w:p>
          <w:p>
            <w:pPr>
              <w:autoSpaceDE w:val="0"/>
              <w:autoSpaceDN w:val="0"/>
              <w:adjustRightInd w:val="0"/>
              <w:snapToGrid w:val="0"/>
              <w:spacing w:line="360" w:lineRule="auto"/>
              <w:ind w:firstLine="480"/>
              <w:jc w:val="left"/>
              <w:textAlignment w:val="baseline"/>
              <w:rPr>
                <w:color w:val="auto"/>
                <w:sz w:val="24"/>
              </w:rPr>
            </w:pPr>
            <w:r>
              <w:rPr>
                <w:color w:val="auto"/>
                <w:sz w:val="24"/>
              </w:rPr>
              <w:t xml:space="preserve">   Q=0.123×(V/5)×(W/6.8)</w:t>
            </w:r>
            <w:r>
              <w:rPr>
                <w:color w:val="auto"/>
                <w:sz w:val="24"/>
                <w:vertAlign w:val="superscript"/>
              </w:rPr>
              <w:t>0.85</w:t>
            </w:r>
            <w:r>
              <w:rPr>
                <w:color w:val="auto"/>
                <w:sz w:val="24"/>
              </w:rPr>
              <w:t>×(P/0.5)</w:t>
            </w:r>
            <w:r>
              <w:rPr>
                <w:color w:val="auto"/>
                <w:sz w:val="24"/>
                <w:vertAlign w:val="superscript"/>
              </w:rPr>
              <w:t>0.75</w:t>
            </w:r>
          </w:p>
          <w:p>
            <w:pPr>
              <w:autoSpaceDE w:val="0"/>
              <w:autoSpaceDN w:val="0"/>
              <w:adjustRightInd w:val="0"/>
              <w:snapToGrid w:val="0"/>
              <w:spacing w:line="360" w:lineRule="auto"/>
              <w:ind w:firstLine="480"/>
              <w:jc w:val="left"/>
              <w:textAlignment w:val="baseline"/>
              <w:rPr>
                <w:color w:val="auto"/>
                <w:sz w:val="24"/>
              </w:rPr>
            </w:pPr>
            <w:r>
              <w:rPr>
                <w:color w:val="auto"/>
                <w:sz w:val="24"/>
              </w:rPr>
              <w:t>式中： Q：汽车行驶时的扬尘， kg/km·辆；</w:t>
            </w:r>
          </w:p>
          <w:p>
            <w:pPr>
              <w:autoSpaceDE w:val="0"/>
              <w:autoSpaceDN w:val="0"/>
              <w:adjustRightInd w:val="0"/>
              <w:snapToGrid w:val="0"/>
              <w:spacing w:line="360" w:lineRule="auto"/>
              <w:ind w:firstLine="480"/>
              <w:jc w:val="left"/>
              <w:textAlignment w:val="baseline"/>
              <w:rPr>
                <w:color w:val="auto"/>
                <w:sz w:val="24"/>
              </w:rPr>
            </w:pPr>
            <w:r>
              <w:rPr>
                <w:color w:val="auto"/>
                <w:sz w:val="24"/>
              </w:rPr>
              <w:t>V：汽车速度，km/h；</w:t>
            </w:r>
          </w:p>
          <w:p>
            <w:pPr>
              <w:autoSpaceDE w:val="0"/>
              <w:autoSpaceDN w:val="0"/>
              <w:adjustRightInd w:val="0"/>
              <w:snapToGrid w:val="0"/>
              <w:spacing w:line="360" w:lineRule="auto"/>
              <w:ind w:firstLine="480"/>
              <w:jc w:val="left"/>
              <w:textAlignment w:val="baseline"/>
              <w:rPr>
                <w:color w:val="auto"/>
                <w:sz w:val="24"/>
              </w:rPr>
            </w:pPr>
            <w:r>
              <w:rPr>
                <w:color w:val="auto"/>
                <w:sz w:val="24"/>
              </w:rPr>
              <w:t>W:汽车载重量，吨；</w:t>
            </w:r>
          </w:p>
          <w:p>
            <w:pPr>
              <w:autoSpaceDE w:val="0"/>
              <w:autoSpaceDN w:val="0"/>
              <w:adjustRightInd w:val="0"/>
              <w:snapToGrid w:val="0"/>
              <w:spacing w:line="360" w:lineRule="auto"/>
              <w:ind w:firstLine="480"/>
              <w:jc w:val="left"/>
              <w:textAlignment w:val="baseline"/>
              <w:rPr>
                <w:color w:val="auto"/>
                <w:sz w:val="24"/>
              </w:rPr>
            </w:pPr>
            <w:r>
              <w:rPr>
                <w:color w:val="auto"/>
                <w:sz w:val="24"/>
              </w:rPr>
              <w:t>P：道路表面粉尘量，kg/m</w:t>
            </w:r>
            <w:r>
              <w:rPr>
                <w:color w:val="auto"/>
                <w:sz w:val="24"/>
                <w:vertAlign w:val="superscript"/>
              </w:rPr>
              <w:t>2</w:t>
            </w:r>
            <w:r>
              <w:rPr>
                <w:color w:val="auto"/>
                <w:sz w:val="24"/>
              </w:rPr>
              <w:t>。</w:t>
            </w:r>
          </w:p>
          <w:p>
            <w:pPr>
              <w:autoSpaceDE w:val="0"/>
              <w:autoSpaceDN w:val="0"/>
              <w:adjustRightInd w:val="0"/>
              <w:snapToGrid w:val="0"/>
              <w:spacing w:line="360" w:lineRule="auto"/>
              <w:ind w:firstLine="480"/>
              <w:jc w:val="left"/>
              <w:textAlignment w:val="baseline"/>
              <w:rPr>
                <w:color w:val="auto"/>
                <w:sz w:val="24"/>
              </w:rPr>
            </w:pPr>
            <w:r>
              <w:rPr>
                <w:color w:val="auto"/>
                <w:sz w:val="24"/>
              </w:rPr>
              <w:t>本项目车辆在厂区行驶距离约为50m计，平均每天发车空、重载各20辆/次；空车重约10t，重车重约25t，以速度20km/h 行驶，在不同路面清洁度情况下的扬尘量见下表：</w:t>
            </w:r>
          </w:p>
          <w:p>
            <w:pPr>
              <w:autoSpaceDE w:val="0"/>
              <w:autoSpaceDN w:val="0"/>
              <w:adjustRightInd w:val="0"/>
              <w:snapToGrid w:val="0"/>
              <w:spacing w:before="120" w:beforeLines="50" w:line="360" w:lineRule="auto"/>
              <w:jc w:val="center"/>
              <w:textAlignment w:val="baseline"/>
              <w:rPr>
                <w:b/>
                <w:bCs/>
                <w:color w:val="auto"/>
                <w:sz w:val="24"/>
              </w:rPr>
            </w:pPr>
            <w:r>
              <w:rPr>
                <w:b/>
                <w:bCs/>
                <w:color w:val="auto"/>
                <w:sz w:val="24"/>
              </w:rPr>
              <w:t>表5-6不同路面清洁度情况下的扬尘量（单位：kg/d）</w:t>
            </w:r>
          </w:p>
          <w:tbl>
            <w:tblPr>
              <w:tblStyle w:val="29"/>
              <w:tblW w:w="59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7"/>
              <w:gridCol w:w="1188"/>
              <w:gridCol w:w="1187"/>
              <w:gridCol w:w="1188"/>
              <w:gridCol w:w="11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320" w:lineRule="exact"/>
                    <w:jc w:val="center"/>
                    <w:textAlignment w:val="baseline"/>
                    <w:rPr>
                      <w:color w:val="auto"/>
                      <w:sz w:val="24"/>
                    </w:rPr>
                  </w:pPr>
                  <w:r>
                    <w:rPr>
                      <w:color w:val="auto"/>
                    </w:rPr>
                    <w:pict>
                      <v:line id="直线 93" o:spid="_x0000_s1031" o:spt="20" style="position:absolute;left:0pt;margin-left:-4.45pt;margin-top:-0.55pt;height:45.75pt;width:57.75pt;z-index:25165107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">
                        <v:path arrowok="t"/>
                        <v:fill focussize="0,0"/>
                        <v:stroke weight="0.5pt"/>
                        <v:imagedata o:title=""/>
                        <o:lock v:ext="edit"/>
                      </v:line>
                    </w:pict>
                  </w:r>
                  <w:r>
                    <w:rPr>
                      <w:color w:val="auto"/>
                      <w:sz w:val="24"/>
                    </w:rPr>
                    <w:t>路况</w:t>
                  </w:r>
                </w:p>
                <w:p>
                  <w:pPr>
                    <w:autoSpaceDE w:val="0"/>
                    <w:autoSpaceDN w:val="0"/>
                    <w:adjustRightInd w:val="0"/>
                    <w:snapToGrid w:val="0"/>
                    <w:spacing w:line="240" w:lineRule="exact"/>
                    <w:jc w:val="center"/>
                    <w:textAlignment w:val="baseline"/>
                    <w:rPr>
                      <w:color w:val="auto"/>
                      <w:sz w:val="24"/>
                    </w:rPr>
                  </w:pPr>
                </w:p>
                <w:p>
                  <w:pPr>
                    <w:autoSpaceDE w:val="0"/>
                    <w:autoSpaceDN w:val="0"/>
                    <w:adjustRightInd w:val="0"/>
                    <w:snapToGrid w:val="0"/>
                    <w:spacing w:line="240" w:lineRule="exact"/>
                    <w:textAlignment w:val="baseline"/>
                    <w:rPr>
                      <w:color w:val="auto"/>
                      <w:sz w:val="24"/>
                    </w:rPr>
                  </w:pPr>
                  <w:r>
                    <w:rPr>
                      <w:color w:val="auto"/>
                      <w:sz w:val="24"/>
                    </w:rPr>
                    <w:t>车况</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0.1</w:t>
                  </w:r>
                </w:p>
                <w:p>
                  <w:pPr>
                    <w:autoSpaceDE w:val="0"/>
                    <w:autoSpaceDN w:val="0"/>
                    <w:adjustRightInd w:val="0"/>
                    <w:snapToGrid w:val="0"/>
                    <w:spacing w:line="240" w:lineRule="exact"/>
                    <w:jc w:val="center"/>
                    <w:textAlignment w:val="baseline"/>
                    <w:rPr>
                      <w:color w:val="auto"/>
                      <w:sz w:val="24"/>
                    </w:rPr>
                  </w:pPr>
                  <w:r>
                    <w:rPr>
                      <w:color w:val="auto"/>
                      <w:sz w:val="24"/>
                    </w:rPr>
                    <w:t>（kg/m</w:t>
                  </w:r>
                  <w:r>
                    <w:rPr>
                      <w:color w:val="auto"/>
                      <w:sz w:val="24"/>
                      <w:vertAlign w:val="superscript"/>
                    </w:rPr>
                    <w:t>2</w:t>
                  </w:r>
                  <w:r>
                    <w:rPr>
                      <w:color w:val="auto"/>
                      <w:sz w:val="24"/>
                    </w:rPr>
                    <w:t>）</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0.2</w:t>
                  </w:r>
                </w:p>
                <w:p>
                  <w:pPr>
                    <w:autoSpaceDE w:val="0"/>
                    <w:autoSpaceDN w:val="0"/>
                    <w:adjustRightInd w:val="0"/>
                    <w:snapToGrid w:val="0"/>
                    <w:spacing w:line="240" w:lineRule="exact"/>
                    <w:jc w:val="center"/>
                    <w:textAlignment w:val="baseline"/>
                    <w:rPr>
                      <w:color w:val="auto"/>
                      <w:sz w:val="24"/>
                    </w:rPr>
                  </w:pPr>
                  <w:r>
                    <w:rPr>
                      <w:color w:val="auto"/>
                      <w:sz w:val="24"/>
                    </w:rPr>
                    <w:t>（kg/m</w:t>
                  </w:r>
                  <w:r>
                    <w:rPr>
                      <w:color w:val="auto"/>
                      <w:sz w:val="24"/>
                      <w:vertAlign w:val="superscript"/>
                    </w:rPr>
                    <w:t>2</w:t>
                  </w:r>
                  <w:r>
                    <w:rPr>
                      <w:color w:val="auto"/>
                      <w:sz w:val="24"/>
                    </w:rPr>
                    <w:t>）</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0.3</w:t>
                  </w:r>
                </w:p>
                <w:p>
                  <w:pPr>
                    <w:autoSpaceDE w:val="0"/>
                    <w:autoSpaceDN w:val="0"/>
                    <w:adjustRightInd w:val="0"/>
                    <w:snapToGrid w:val="0"/>
                    <w:spacing w:line="240" w:lineRule="exact"/>
                    <w:jc w:val="center"/>
                    <w:textAlignment w:val="baseline"/>
                    <w:rPr>
                      <w:color w:val="auto"/>
                      <w:sz w:val="24"/>
                    </w:rPr>
                  </w:pPr>
                  <w:r>
                    <w:rPr>
                      <w:color w:val="auto"/>
                      <w:sz w:val="24"/>
                    </w:rPr>
                    <w:t>（kg/m</w:t>
                  </w:r>
                  <w:r>
                    <w:rPr>
                      <w:color w:val="auto"/>
                      <w:sz w:val="24"/>
                      <w:vertAlign w:val="superscript"/>
                    </w:rPr>
                    <w:t>2</w:t>
                  </w:r>
                  <w:r>
                    <w:rPr>
                      <w:color w:val="auto"/>
                      <w:sz w:val="24"/>
                    </w:rPr>
                    <w:t>）</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0.4</w:t>
                  </w:r>
                </w:p>
                <w:p>
                  <w:pPr>
                    <w:autoSpaceDE w:val="0"/>
                    <w:autoSpaceDN w:val="0"/>
                    <w:adjustRightInd w:val="0"/>
                    <w:snapToGrid w:val="0"/>
                    <w:spacing w:line="240" w:lineRule="exact"/>
                    <w:jc w:val="center"/>
                    <w:textAlignment w:val="baseline"/>
                    <w:rPr>
                      <w:color w:val="auto"/>
                      <w:sz w:val="24"/>
                    </w:rPr>
                  </w:pPr>
                  <w:r>
                    <w:rPr>
                      <w:color w:val="auto"/>
                      <w:sz w:val="24"/>
                    </w:rPr>
                    <w:t>（kg/m</w:t>
                  </w:r>
                  <w:r>
                    <w:rPr>
                      <w:color w:val="auto"/>
                      <w:sz w:val="24"/>
                      <w:vertAlign w:val="superscript"/>
                    </w:rPr>
                    <w:t>2</w:t>
                  </w:r>
                  <w:r>
                    <w:rPr>
                      <w:color w:val="auto"/>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jc w:val="center"/>
              </w:trPr>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空车</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0.20</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0.34</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0.46</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重车</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0.44</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0.75</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1.01</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合计</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0.64</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1.09</w:t>
                  </w:r>
                </w:p>
              </w:tc>
              <w:tc>
                <w:tcPr>
                  <w:tcW w:w="1188"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1.47</w:t>
                  </w:r>
                </w:p>
              </w:tc>
              <w:tc>
                <w:tcPr>
                  <w:tcW w:w="118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napToGrid w:val="0"/>
                    <w:spacing w:line="240" w:lineRule="exact"/>
                    <w:jc w:val="center"/>
                    <w:textAlignment w:val="baseline"/>
                    <w:rPr>
                      <w:color w:val="auto"/>
                      <w:sz w:val="24"/>
                    </w:rPr>
                  </w:pPr>
                  <w:r>
                    <w:rPr>
                      <w:color w:val="auto"/>
                      <w:sz w:val="24"/>
                    </w:rPr>
                    <w:t>1.83</w:t>
                  </w:r>
                </w:p>
              </w:tc>
            </w:tr>
          </w:tbl>
          <w:p>
            <w:pPr>
              <w:autoSpaceDE w:val="0"/>
              <w:autoSpaceDN w:val="0"/>
              <w:adjustRightInd w:val="0"/>
              <w:snapToGrid w:val="0"/>
              <w:spacing w:before="120" w:beforeLines="50" w:line="360" w:lineRule="auto"/>
              <w:ind w:firstLine="482"/>
              <w:jc w:val="left"/>
              <w:textAlignment w:val="baseline"/>
              <w:rPr>
                <w:color w:val="auto"/>
                <w:sz w:val="24"/>
              </w:rPr>
            </w:pPr>
            <w:r>
              <w:rPr>
                <w:color w:val="auto"/>
                <w:sz w:val="24"/>
              </w:rPr>
              <w:t>本项目对厂区运输道路已进行硬化，同时场区配置有除尘雾泡机抑尘</w:t>
            </w:r>
            <w:r>
              <w:rPr>
                <w:color w:val="auto"/>
                <w:sz w:val="22"/>
                <w:szCs w:val="22"/>
              </w:rPr>
              <w:t>。</w:t>
            </w:r>
            <w:r>
              <w:rPr>
                <w:color w:val="auto"/>
                <w:sz w:val="24"/>
              </w:rPr>
              <w:t>对道路路况以 0.2kg/m</w:t>
            </w:r>
            <w:r>
              <w:rPr>
                <w:color w:val="auto"/>
                <w:sz w:val="24"/>
                <w:vertAlign w:val="superscript"/>
              </w:rPr>
              <w:t>2</w:t>
            </w:r>
            <w:r>
              <w:rPr>
                <w:color w:val="auto"/>
                <w:sz w:val="24"/>
              </w:rPr>
              <w:t>计，则项目汽车动力起尘量为0.36t/a。本次评价要求项目对厂区内地面进行定期撒水、清扫，以减少道路扬尘的产生，经采取降尘措施后，汽车动力起尘量会减少85%，则项目汽车扬尘</w:t>
            </w:r>
            <w:r>
              <w:rPr>
                <w:rFonts w:hint="eastAsia"/>
                <w:color w:val="auto"/>
                <w:sz w:val="24"/>
              </w:rPr>
              <w:t>产生</w:t>
            </w:r>
            <w:r>
              <w:rPr>
                <w:color w:val="auto"/>
                <w:sz w:val="24"/>
              </w:rPr>
              <w:t>量为0.05t/a。</w:t>
            </w:r>
          </w:p>
          <w:p>
            <w:pPr>
              <w:autoSpaceDE w:val="0"/>
              <w:autoSpaceDN w:val="0"/>
              <w:adjustRightInd w:val="0"/>
              <w:snapToGrid w:val="0"/>
              <w:spacing w:before="120" w:beforeLines="50" w:line="360" w:lineRule="auto"/>
              <w:ind w:firstLine="482"/>
              <w:jc w:val="left"/>
              <w:textAlignment w:val="baseline"/>
              <w:rPr>
                <w:color w:val="auto"/>
                <w:sz w:val="24"/>
              </w:rPr>
            </w:pPr>
            <w:r>
              <w:rPr>
                <w:color w:val="auto"/>
                <w:sz w:val="24"/>
              </w:rPr>
              <w:t>经过以上分析，则项目废气处理前后对比一览表见表5-7。项目物料平衡图见图5-2。</w:t>
            </w:r>
          </w:p>
          <w:p>
            <w:pPr>
              <w:autoSpaceDE w:val="0"/>
              <w:autoSpaceDN w:val="0"/>
              <w:adjustRightInd w:val="0"/>
              <w:snapToGrid w:val="0"/>
              <w:spacing w:line="360" w:lineRule="auto"/>
              <w:ind w:firstLine="480"/>
              <w:jc w:val="center"/>
              <w:textAlignment w:val="baseline"/>
              <w:rPr>
                <w:b/>
                <w:color w:val="auto"/>
                <w:sz w:val="24"/>
              </w:rPr>
            </w:pPr>
            <w:r>
              <w:rPr>
                <w:b/>
                <w:color w:val="auto"/>
                <w:sz w:val="24"/>
              </w:rPr>
              <w:t>表5-7项目废气处理前后对比一览表</w:t>
            </w:r>
          </w:p>
          <w:tbl>
            <w:tblPr>
              <w:tblStyle w:val="29"/>
              <w:tblW w:w="9227"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03"/>
              <w:gridCol w:w="1103"/>
              <w:gridCol w:w="1067"/>
              <w:gridCol w:w="1134"/>
              <w:gridCol w:w="1701"/>
              <w:gridCol w:w="1134"/>
              <w:gridCol w:w="85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2" w:hRule="atLeast"/>
              </w:trPr>
              <w:tc>
                <w:tcPr>
                  <w:tcW w:w="2206" w:type="dxa"/>
                  <w:gridSpan w:val="2"/>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类别</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产生量（t/a）</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产生浓度</w:t>
                  </w:r>
                </w:p>
                <w:p>
                  <w:pPr>
                    <w:autoSpaceDE w:val="0"/>
                    <w:autoSpaceDN w:val="0"/>
                    <w:adjustRightInd w:val="0"/>
                    <w:snapToGrid w:val="0"/>
                    <w:jc w:val="center"/>
                    <w:textAlignment w:val="baseline"/>
                    <w:rPr>
                      <w:color w:val="auto"/>
                      <w:szCs w:val="21"/>
                    </w:rPr>
                  </w:pPr>
                  <w:r>
                    <w:rPr>
                      <w:color w:val="auto"/>
                      <w:szCs w:val="21"/>
                    </w:rPr>
                    <w:t>（mg/m</w:t>
                  </w:r>
                  <w:r>
                    <w:rPr>
                      <w:color w:val="auto"/>
                      <w:szCs w:val="21"/>
                      <w:vertAlign w:val="superscript"/>
                    </w:rPr>
                    <w:t>3</w:t>
                  </w:r>
                  <w:r>
                    <w:rPr>
                      <w:color w:val="auto"/>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处理方式</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排放浓度</w:t>
                  </w:r>
                </w:p>
                <w:p>
                  <w:pPr>
                    <w:autoSpaceDE w:val="0"/>
                    <w:autoSpaceDN w:val="0"/>
                    <w:adjustRightInd w:val="0"/>
                    <w:snapToGrid w:val="0"/>
                    <w:jc w:val="center"/>
                    <w:textAlignment w:val="baseline"/>
                    <w:rPr>
                      <w:color w:val="auto"/>
                      <w:szCs w:val="21"/>
                    </w:rPr>
                  </w:pPr>
                  <w:r>
                    <w:rPr>
                      <w:color w:val="auto"/>
                      <w:szCs w:val="21"/>
                    </w:rPr>
                    <w:t>（mg/m</w:t>
                  </w:r>
                  <w:r>
                    <w:rPr>
                      <w:color w:val="auto"/>
                      <w:szCs w:val="21"/>
                      <w:vertAlign w:val="superscript"/>
                    </w:rPr>
                    <w:t>3</w:t>
                  </w:r>
                  <w:r>
                    <w:rPr>
                      <w:color w:val="auto"/>
                      <w:szCs w:val="21"/>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排放量</w:t>
                  </w:r>
                </w:p>
                <w:p>
                  <w:pPr>
                    <w:autoSpaceDE w:val="0"/>
                    <w:autoSpaceDN w:val="0"/>
                    <w:adjustRightInd w:val="0"/>
                    <w:snapToGrid w:val="0"/>
                    <w:jc w:val="center"/>
                    <w:textAlignment w:val="baseline"/>
                    <w:rPr>
                      <w:color w:val="auto"/>
                      <w:szCs w:val="21"/>
                    </w:rPr>
                  </w:pPr>
                  <w:r>
                    <w:rPr>
                      <w:color w:val="auto"/>
                      <w:szCs w:val="21"/>
                    </w:rPr>
                    <w:t>（t/a）</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排放方式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2" w:hRule="atLeast"/>
              </w:trPr>
              <w:tc>
                <w:tcPr>
                  <w:tcW w:w="2206" w:type="dxa"/>
                  <w:gridSpan w:val="2"/>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制砂生产线粉尘</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371</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2342</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rFonts w:hint="eastAsia"/>
                      <w:color w:val="auto"/>
                      <w:szCs w:val="21"/>
                    </w:rPr>
                    <w:t>布袋</w:t>
                  </w:r>
                  <w:r>
                    <w:rPr>
                      <w:color w:val="auto"/>
                      <w:szCs w:val="21"/>
                    </w:rPr>
                    <w:t>除尘器</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2.34</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0.37</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rFonts w:hint="eastAsia"/>
                      <w:color w:val="auto"/>
                      <w:szCs w:val="21"/>
                    </w:rPr>
                    <w:t>有</w:t>
                  </w:r>
                  <w:r>
                    <w:rPr>
                      <w:color w:val="auto"/>
                      <w:szCs w:val="21"/>
                    </w:rPr>
                    <w:t>组织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5" w:hRule="atLeast"/>
              </w:trPr>
              <w:tc>
                <w:tcPr>
                  <w:tcW w:w="1103"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堆场起尘</w:t>
                  </w:r>
                </w:p>
              </w:tc>
              <w:tc>
                <w:tcPr>
                  <w:tcW w:w="1103"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沙</w:t>
                  </w:r>
                  <w:r>
                    <w:rPr>
                      <w:rFonts w:hint="eastAsia"/>
                      <w:color w:val="auto"/>
                      <w:szCs w:val="21"/>
                    </w:rPr>
                    <w:t>、</w:t>
                  </w:r>
                  <w:r>
                    <w:rPr>
                      <w:color w:val="auto"/>
                      <w:szCs w:val="21"/>
                    </w:rPr>
                    <w:t>石的装卸扬尘量</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1.53</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洒水降尘、无风或微风的天气条件下进行沙料的装卸</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0.18</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无组织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9" w:hRule="atLeast"/>
              </w:trPr>
              <w:tc>
                <w:tcPr>
                  <w:tcW w:w="1103" w:type="dxa"/>
                  <w:vMerge w:val="restart"/>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沙石计量、筒仓投料粉尘</w:t>
                  </w:r>
                </w:p>
              </w:tc>
              <w:tc>
                <w:tcPr>
                  <w:tcW w:w="1103"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沙石计量投放</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0.1</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水雾喷淋装置</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0.04</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无组织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5" w:hRule="atLeast"/>
              </w:trPr>
              <w:tc>
                <w:tcPr>
                  <w:tcW w:w="1103" w:type="dxa"/>
                  <w:vMerge w:val="continue"/>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p>
              </w:tc>
              <w:tc>
                <w:tcPr>
                  <w:tcW w:w="1103"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水泥、粉煤灰筒库粉尘</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376.2</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4543.5</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脉冲滤芯除尘器+高空排放</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4.54</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0.38</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有组织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9" w:hRule="atLeast"/>
              </w:trPr>
              <w:tc>
                <w:tcPr>
                  <w:tcW w:w="2206" w:type="dxa"/>
                  <w:gridSpan w:val="2"/>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搅拌系统产生的粉尘</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72</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袋式除尘器</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0.07</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无组织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9" w:hRule="atLeast"/>
              </w:trPr>
              <w:tc>
                <w:tcPr>
                  <w:tcW w:w="2206" w:type="dxa"/>
                  <w:gridSpan w:val="2"/>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运输车辆动力起尘</w:t>
                  </w:r>
                </w:p>
              </w:tc>
              <w:tc>
                <w:tcPr>
                  <w:tcW w:w="1067"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0.36</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撒水、清扫</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w:t>
                  </w:r>
                </w:p>
              </w:tc>
              <w:tc>
                <w:tcPr>
                  <w:tcW w:w="851"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0.05</w:t>
                  </w:r>
                </w:p>
              </w:tc>
              <w:tc>
                <w:tcPr>
                  <w:tcW w:w="1134" w:type="dxa"/>
                  <w:tcBorders>
                    <w:top w:val="single" w:color="000000" w:sz="4" w:space="0"/>
                    <w:left w:val="single" w:color="000000" w:sz="4" w:space="0"/>
                    <w:bottom w:val="single" w:color="000000" w:sz="4" w:space="0"/>
                    <w:right w:val="single" w:color="000000" w:sz="4" w:space="0"/>
                  </w:tcBorders>
                  <w:vAlign w:val="center"/>
                </w:tcPr>
                <w:p>
                  <w:pPr>
                    <w:autoSpaceDE w:val="0"/>
                    <w:autoSpaceDN w:val="0"/>
                    <w:adjustRightInd w:val="0"/>
                    <w:snapToGrid w:val="0"/>
                    <w:jc w:val="center"/>
                    <w:textAlignment w:val="baseline"/>
                    <w:rPr>
                      <w:color w:val="auto"/>
                      <w:szCs w:val="21"/>
                    </w:rPr>
                  </w:pPr>
                  <w:r>
                    <w:rPr>
                      <w:color w:val="auto"/>
                      <w:szCs w:val="21"/>
                    </w:rPr>
                    <w:t>无组织</w:t>
                  </w:r>
                </w:p>
              </w:tc>
            </w:tr>
          </w:tbl>
          <w:p>
            <w:pPr>
              <w:pStyle w:val="2"/>
              <w:ind w:leftChars="-61" w:hanging="128" w:hangingChars="61"/>
              <w:jc w:val="center"/>
              <w:rPr>
                <w:color w:val="auto"/>
              </w:rPr>
            </w:pPr>
            <w:r>
              <w:rPr>
                <w:color w:val="auto"/>
              </w:rPr>
              <w:drawing>
                <wp:inline distT="0" distB="0" distL="0" distR="0">
                  <wp:extent cx="5850255" cy="4445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
                          <a:stretch>
                            <a:fillRect/>
                          </a:stretch>
                        </pic:blipFill>
                        <pic:spPr>
                          <a:xfrm>
                            <a:off x="0" y="0"/>
                            <a:ext cx="5850255" cy="4445000"/>
                          </a:xfrm>
                          <a:prstGeom prst="rect">
                            <a:avLst/>
                          </a:prstGeom>
                        </pic:spPr>
                      </pic:pic>
                    </a:graphicData>
                  </a:graphic>
                </wp:inline>
              </w:drawing>
            </w:r>
          </w:p>
          <w:p>
            <w:pPr>
              <w:pStyle w:val="2"/>
              <w:rPr>
                <w:color w:val="auto"/>
              </w:rPr>
            </w:pPr>
          </w:p>
          <w:p>
            <w:pPr>
              <w:autoSpaceDE w:val="0"/>
              <w:autoSpaceDN w:val="0"/>
              <w:adjustRightInd w:val="0"/>
              <w:snapToGrid w:val="0"/>
              <w:spacing w:line="500" w:lineRule="exact"/>
              <w:ind w:firstLine="482" w:firstLineChars="200"/>
              <w:jc w:val="center"/>
              <w:textAlignment w:val="baseline"/>
              <w:rPr>
                <w:b/>
                <w:color w:val="auto"/>
                <w:sz w:val="24"/>
              </w:rPr>
            </w:pPr>
            <w:r>
              <w:rPr>
                <w:b/>
                <w:color w:val="auto"/>
                <w:sz w:val="24"/>
              </w:rPr>
              <w:t>图5-2  项目物料平衡图</w:t>
            </w:r>
            <w:r>
              <w:rPr>
                <w:b/>
                <w:bCs/>
                <w:color w:val="auto"/>
                <w:sz w:val="24"/>
              </w:rPr>
              <w:t>（单位：t/a）</w:t>
            </w:r>
          </w:p>
          <w:p>
            <w:pPr>
              <w:pStyle w:val="2"/>
              <w:ind w:firstLine="0" w:firstLineChars="0"/>
              <w:rPr>
                <w:color w:val="auto"/>
              </w:rPr>
            </w:pPr>
          </w:p>
          <w:p>
            <w:pPr>
              <w:autoSpaceDE w:val="0"/>
              <w:autoSpaceDN w:val="0"/>
              <w:adjustRightInd w:val="0"/>
              <w:snapToGrid w:val="0"/>
              <w:spacing w:line="500" w:lineRule="exact"/>
              <w:ind w:firstLine="482" w:firstLineChars="200"/>
              <w:textAlignment w:val="baseline"/>
              <w:rPr>
                <w:b/>
                <w:color w:val="auto"/>
                <w:sz w:val="24"/>
              </w:rPr>
            </w:pPr>
            <w:r>
              <w:rPr>
                <w:rFonts w:hint="eastAsia"/>
                <w:b/>
                <w:color w:val="auto"/>
                <w:sz w:val="24"/>
              </w:rPr>
              <w:t>（</w:t>
            </w:r>
            <w:r>
              <w:rPr>
                <w:b/>
                <w:color w:val="auto"/>
                <w:sz w:val="24"/>
              </w:rPr>
              <w:t>5</w:t>
            </w:r>
            <w:r>
              <w:rPr>
                <w:rFonts w:hint="eastAsia"/>
                <w:b/>
                <w:color w:val="auto"/>
                <w:sz w:val="24"/>
              </w:rPr>
              <w:t>）柴油发电机尾气</w:t>
            </w:r>
          </w:p>
          <w:p>
            <w:pPr>
              <w:autoSpaceDE w:val="0"/>
              <w:autoSpaceDN w:val="0"/>
              <w:adjustRightInd w:val="0"/>
              <w:snapToGrid w:val="0"/>
              <w:spacing w:line="500" w:lineRule="exact"/>
              <w:ind w:firstLine="480"/>
              <w:textAlignment w:val="baseline"/>
              <w:rPr>
                <w:color w:val="auto"/>
                <w:spacing w:val="-2"/>
                <w:sz w:val="24"/>
              </w:rPr>
            </w:pPr>
            <w:r>
              <w:rPr>
                <w:rFonts w:hint="eastAsia"/>
                <w:color w:val="auto"/>
                <w:spacing w:val="-2"/>
                <w:sz w:val="24"/>
              </w:rPr>
              <w:t>本项目设置</w:t>
            </w:r>
            <w:r>
              <w:rPr>
                <w:color w:val="auto"/>
                <w:spacing w:val="-2"/>
                <w:sz w:val="24"/>
              </w:rPr>
              <w:t>1</w:t>
            </w:r>
            <w:r>
              <w:rPr>
                <w:rFonts w:hint="eastAsia"/>
                <w:color w:val="auto"/>
                <w:spacing w:val="-2"/>
                <w:sz w:val="24"/>
              </w:rPr>
              <w:t>台备用柴油发电机组，功率分别为</w:t>
            </w:r>
            <w:r>
              <w:rPr>
                <w:color w:val="auto"/>
                <w:spacing w:val="-2"/>
                <w:sz w:val="24"/>
              </w:rPr>
              <w:t>40</w:t>
            </w:r>
            <w:r>
              <w:rPr>
                <w:rFonts w:hint="eastAsia"/>
                <w:color w:val="auto"/>
                <w:spacing w:val="-2"/>
                <w:sz w:val="24"/>
              </w:rPr>
              <w:t>0</w:t>
            </w:r>
            <w:r>
              <w:rPr>
                <w:color w:val="auto"/>
                <w:spacing w:val="-2"/>
                <w:sz w:val="24"/>
              </w:rPr>
              <w:t>KW</w:t>
            </w:r>
            <w:r>
              <w:rPr>
                <w:rFonts w:hint="eastAsia"/>
                <w:color w:val="auto"/>
                <w:spacing w:val="-2"/>
                <w:sz w:val="24"/>
              </w:rPr>
              <w:t>。发电机仅在区域停电时使用，发电机的发电燃料为</w:t>
            </w:r>
            <w:r>
              <w:rPr>
                <w:color w:val="auto"/>
                <w:spacing w:val="-2"/>
                <w:sz w:val="24"/>
              </w:rPr>
              <w:t>0#</w:t>
            </w:r>
            <w:r>
              <w:rPr>
                <w:rFonts w:hint="eastAsia"/>
                <w:color w:val="auto"/>
                <w:spacing w:val="-2"/>
                <w:sz w:val="24"/>
              </w:rPr>
              <w:t>柴油，运行时产生少量燃油废气，含硫量按</w:t>
            </w:r>
            <w:r>
              <w:rPr>
                <w:color w:val="auto"/>
                <w:spacing w:val="-2"/>
                <w:sz w:val="24"/>
              </w:rPr>
              <w:t>0.035%</w:t>
            </w:r>
            <w:r>
              <w:rPr>
                <w:rFonts w:hint="eastAsia"/>
                <w:color w:val="auto"/>
                <w:spacing w:val="-2"/>
                <w:sz w:val="24"/>
              </w:rPr>
              <w:t>计算（轻柴油含硫量标准上限）。</w:t>
            </w:r>
          </w:p>
          <w:p>
            <w:pPr>
              <w:spacing w:line="500" w:lineRule="exact"/>
              <w:ind w:firstLine="464"/>
              <w:rPr>
                <w:color w:val="auto"/>
                <w:spacing w:val="-2"/>
                <w:sz w:val="24"/>
              </w:rPr>
            </w:pPr>
            <w:r>
              <w:rPr>
                <w:rFonts w:hint="eastAsia"/>
                <w:color w:val="auto"/>
                <w:spacing w:val="-2"/>
                <w:sz w:val="24"/>
              </w:rPr>
              <w:t>考虑到外供用电只有在线路维修的情况下才会停止供电，因此备用发电机按每年使用</w:t>
            </w:r>
            <w:r>
              <w:rPr>
                <w:color w:val="auto"/>
                <w:spacing w:val="-2"/>
                <w:sz w:val="24"/>
              </w:rPr>
              <w:t>2</w:t>
            </w:r>
            <w:r>
              <w:rPr>
                <w:rFonts w:hint="eastAsia"/>
                <w:color w:val="auto"/>
                <w:spacing w:val="-2"/>
                <w:sz w:val="24"/>
              </w:rPr>
              <w:t>天，每天使用</w:t>
            </w:r>
            <w:r>
              <w:rPr>
                <w:color w:val="auto"/>
                <w:spacing w:val="-2"/>
                <w:sz w:val="24"/>
              </w:rPr>
              <w:t>8</w:t>
            </w:r>
            <w:r>
              <w:rPr>
                <w:rFonts w:hint="eastAsia"/>
                <w:color w:val="auto"/>
                <w:spacing w:val="-2"/>
                <w:sz w:val="24"/>
              </w:rPr>
              <w:t>小时，加上每月试运行，每次</w:t>
            </w:r>
            <w:r>
              <w:rPr>
                <w:color w:val="auto"/>
                <w:spacing w:val="-2"/>
                <w:sz w:val="24"/>
              </w:rPr>
              <w:t>0.5</w:t>
            </w:r>
            <w:r>
              <w:rPr>
                <w:rFonts w:hint="eastAsia"/>
                <w:color w:val="auto"/>
                <w:spacing w:val="-2"/>
                <w:sz w:val="24"/>
              </w:rPr>
              <w:t>小时计算，则年运行时间为</w:t>
            </w:r>
            <w:r>
              <w:rPr>
                <w:color w:val="auto"/>
                <w:spacing w:val="-2"/>
                <w:sz w:val="24"/>
              </w:rPr>
              <w:t>22</w:t>
            </w:r>
            <w:r>
              <w:rPr>
                <w:rFonts w:hint="eastAsia"/>
                <w:color w:val="auto"/>
                <w:spacing w:val="-2"/>
                <w:sz w:val="24"/>
              </w:rPr>
              <w:t>小时。根据国家环境保护部编制的《环境影响评价工程师职业资格登记培训系列教材</w:t>
            </w:r>
            <w:r>
              <w:rPr>
                <w:color w:val="auto"/>
                <w:spacing w:val="-2"/>
                <w:sz w:val="24"/>
              </w:rPr>
              <w:t xml:space="preserve"> ( </w:t>
            </w:r>
            <w:r>
              <w:rPr>
                <w:rFonts w:hint="eastAsia"/>
                <w:color w:val="auto"/>
                <w:spacing w:val="-2"/>
                <w:sz w:val="24"/>
              </w:rPr>
              <w:t>社会区域</w:t>
            </w:r>
            <w:r>
              <w:rPr>
                <w:color w:val="auto"/>
                <w:spacing w:val="-2"/>
                <w:sz w:val="24"/>
              </w:rPr>
              <w:t xml:space="preserve"> ) </w:t>
            </w:r>
            <w:r>
              <w:rPr>
                <w:rFonts w:hint="eastAsia"/>
                <w:color w:val="auto"/>
                <w:spacing w:val="-2"/>
                <w:sz w:val="24"/>
              </w:rPr>
              <w:t>（</w:t>
            </w:r>
            <w:r>
              <w:rPr>
                <w:color w:val="auto"/>
                <w:spacing w:val="-2"/>
                <w:sz w:val="24"/>
              </w:rPr>
              <w:t xml:space="preserve"> 2009 </w:t>
            </w:r>
            <w:r>
              <w:rPr>
                <w:rFonts w:hint="eastAsia"/>
                <w:color w:val="auto"/>
                <w:spacing w:val="-2"/>
                <w:sz w:val="24"/>
              </w:rPr>
              <w:t>年版）》中提供的参数，柴油机的耗油量按</w:t>
            </w:r>
            <w:r>
              <w:rPr>
                <w:color w:val="auto"/>
                <w:spacing w:val="-2"/>
                <w:sz w:val="24"/>
              </w:rPr>
              <w:t xml:space="preserve"> 212.5</w:t>
            </w:r>
            <w:r>
              <w:rPr>
                <w:rFonts w:hint="eastAsia"/>
                <w:color w:val="auto"/>
                <w:spacing w:val="-2"/>
                <w:sz w:val="24"/>
              </w:rPr>
              <w:t>克</w:t>
            </w:r>
            <w:r>
              <w:rPr>
                <w:color w:val="auto"/>
                <w:spacing w:val="-2"/>
                <w:sz w:val="24"/>
              </w:rPr>
              <w:t>/</w:t>
            </w:r>
            <w:r>
              <w:rPr>
                <w:rFonts w:hint="eastAsia"/>
                <w:color w:val="auto"/>
                <w:spacing w:val="-2"/>
                <w:sz w:val="24"/>
              </w:rPr>
              <w:t>千瓦</w:t>
            </w:r>
            <w:r>
              <w:rPr>
                <w:color w:val="auto"/>
                <w:spacing w:val="-2"/>
                <w:sz w:val="24"/>
              </w:rPr>
              <w:t>/</w:t>
            </w:r>
            <w:r>
              <w:rPr>
                <w:rFonts w:hint="eastAsia"/>
                <w:color w:val="auto"/>
                <w:spacing w:val="-2"/>
                <w:sz w:val="24"/>
              </w:rPr>
              <w:t>小时计算，发电机运行污染物排放系数为：</w:t>
            </w:r>
            <w:r>
              <w:rPr>
                <w:color w:val="auto"/>
                <w:spacing w:val="-2"/>
                <w:sz w:val="24"/>
              </w:rPr>
              <w:t xml:space="preserve"> SO</w:t>
            </w:r>
            <w:r>
              <w:rPr>
                <w:color w:val="auto"/>
                <w:spacing w:val="-2"/>
                <w:sz w:val="24"/>
                <w:vertAlign w:val="subscript"/>
              </w:rPr>
              <w:t>2</w:t>
            </w:r>
            <w:r>
              <w:rPr>
                <w:rFonts w:hint="eastAsia"/>
                <w:color w:val="auto"/>
                <w:spacing w:val="-2"/>
                <w:sz w:val="24"/>
              </w:rPr>
              <w:t>：</w:t>
            </w:r>
            <w:r>
              <w:rPr>
                <w:color w:val="auto"/>
                <w:spacing w:val="-2"/>
                <w:sz w:val="24"/>
              </w:rPr>
              <w:t xml:space="preserve">3.4g/L </w:t>
            </w:r>
            <w:r>
              <w:rPr>
                <w:rFonts w:hint="eastAsia"/>
                <w:color w:val="auto"/>
                <w:spacing w:val="-2"/>
                <w:sz w:val="24"/>
              </w:rPr>
              <w:t>，烟尘：</w:t>
            </w:r>
            <w:r>
              <w:rPr>
                <w:color w:val="auto"/>
                <w:spacing w:val="-2"/>
                <w:sz w:val="24"/>
              </w:rPr>
              <w:t xml:space="preserve">0.714g/L </w:t>
            </w:r>
            <w:r>
              <w:rPr>
                <w:rFonts w:hint="eastAsia"/>
                <w:color w:val="auto"/>
                <w:spacing w:val="-2"/>
                <w:sz w:val="24"/>
              </w:rPr>
              <w:t>，</w:t>
            </w:r>
            <w:r>
              <w:rPr>
                <w:color w:val="auto"/>
                <w:spacing w:val="-2"/>
                <w:sz w:val="24"/>
              </w:rPr>
              <w:t xml:space="preserve"> NO</w:t>
            </w:r>
            <w:r>
              <w:rPr>
                <w:color w:val="auto"/>
                <w:spacing w:val="-2"/>
                <w:sz w:val="24"/>
                <w:vertAlign w:val="subscript"/>
              </w:rPr>
              <w:t>X</w:t>
            </w:r>
            <w:r>
              <w:rPr>
                <w:rFonts w:hint="eastAsia"/>
                <w:color w:val="auto"/>
                <w:spacing w:val="-2"/>
                <w:sz w:val="24"/>
              </w:rPr>
              <w:t>：</w:t>
            </w:r>
            <w:r>
              <w:rPr>
                <w:color w:val="auto"/>
                <w:spacing w:val="-2"/>
                <w:sz w:val="24"/>
              </w:rPr>
              <w:t xml:space="preserve">2.56g/L </w:t>
            </w:r>
            <w:r>
              <w:rPr>
                <w:rFonts w:hint="eastAsia"/>
                <w:color w:val="auto"/>
                <w:spacing w:val="-2"/>
                <w:sz w:val="24"/>
              </w:rPr>
              <w:t>，</w:t>
            </w:r>
            <w:r>
              <w:rPr>
                <w:color w:val="auto"/>
                <w:spacing w:val="-2"/>
                <w:sz w:val="24"/>
              </w:rPr>
              <w:t>CO</w:t>
            </w:r>
            <w:r>
              <w:rPr>
                <w:rFonts w:hint="eastAsia"/>
                <w:color w:val="auto"/>
                <w:spacing w:val="-2"/>
                <w:sz w:val="24"/>
              </w:rPr>
              <w:t>：</w:t>
            </w:r>
            <w:r>
              <w:rPr>
                <w:color w:val="auto"/>
                <w:spacing w:val="-2"/>
                <w:sz w:val="24"/>
              </w:rPr>
              <w:t xml:space="preserve">1.52g/L </w:t>
            </w:r>
            <w:r>
              <w:rPr>
                <w:rFonts w:hint="eastAsia"/>
                <w:color w:val="auto"/>
                <w:spacing w:val="-2"/>
                <w:sz w:val="24"/>
              </w:rPr>
              <w:t>，柴油密度取</w:t>
            </w:r>
            <w:r>
              <w:rPr>
                <w:color w:val="auto"/>
                <w:spacing w:val="-2"/>
                <w:sz w:val="24"/>
              </w:rPr>
              <w:t xml:space="preserve"> 0.85kg/L</w:t>
            </w:r>
            <w:r>
              <w:rPr>
                <w:rFonts w:hint="eastAsia"/>
                <w:color w:val="auto"/>
                <w:spacing w:val="-2"/>
                <w:sz w:val="24"/>
              </w:rPr>
              <w:t>；则计算得到项目小时消耗柴油量为</w:t>
            </w:r>
            <w:r>
              <w:rPr>
                <w:color w:val="auto"/>
                <w:spacing w:val="-2"/>
                <w:sz w:val="24"/>
              </w:rPr>
              <w:t>85kg/h</w:t>
            </w:r>
            <w:r>
              <w:rPr>
                <w:rFonts w:hint="eastAsia"/>
                <w:color w:val="auto"/>
                <w:spacing w:val="-2"/>
                <w:sz w:val="24"/>
              </w:rPr>
              <w:t>，</w:t>
            </w:r>
            <w:r>
              <w:rPr>
                <w:color w:val="auto"/>
                <w:spacing w:val="-2"/>
                <w:sz w:val="24"/>
              </w:rPr>
              <w:t>1870kg/a</w:t>
            </w:r>
            <w:r>
              <w:rPr>
                <w:rFonts w:hint="eastAsia"/>
                <w:color w:val="auto"/>
                <w:spacing w:val="-2"/>
                <w:sz w:val="24"/>
              </w:rPr>
              <w:t>，则柴油年用量</w:t>
            </w:r>
            <w:r>
              <w:rPr>
                <w:color w:val="auto"/>
                <w:spacing w:val="-2"/>
                <w:sz w:val="24"/>
              </w:rPr>
              <w:t>2200L</w:t>
            </w:r>
            <w:r>
              <w:rPr>
                <w:rFonts w:hint="eastAsia"/>
                <w:color w:val="auto"/>
                <w:spacing w:val="-2"/>
                <w:sz w:val="24"/>
              </w:rPr>
              <w:t>。根据《大气污染工程师手册》，当空气过剩系数为</w:t>
            </w:r>
            <w:r>
              <w:rPr>
                <w:color w:val="auto"/>
                <w:spacing w:val="-2"/>
                <w:sz w:val="24"/>
              </w:rPr>
              <w:t>1</w:t>
            </w:r>
            <w:r>
              <w:rPr>
                <w:rFonts w:hint="eastAsia"/>
                <w:color w:val="auto"/>
                <w:spacing w:val="-2"/>
                <w:sz w:val="24"/>
              </w:rPr>
              <w:t>时，</w:t>
            </w:r>
            <w:r>
              <w:rPr>
                <w:color w:val="auto"/>
                <w:spacing w:val="-2"/>
                <w:sz w:val="24"/>
              </w:rPr>
              <w:t>1kg</w:t>
            </w:r>
            <w:r>
              <w:rPr>
                <w:rFonts w:hint="eastAsia"/>
                <w:color w:val="auto"/>
                <w:spacing w:val="-2"/>
                <w:sz w:val="24"/>
              </w:rPr>
              <w:t>柴油产生的烟气量约为</w:t>
            </w:r>
            <w:r>
              <w:rPr>
                <w:color w:val="auto"/>
                <w:spacing w:val="-2"/>
                <w:sz w:val="24"/>
              </w:rPr>
              <w:t>11Nm</w:t>
            </w:r>
            <w:r>
              <w:rPr>
                <w:color w:val="auto"/>
                <w:spacing w:val="-2"/>
                <w:sz w:val="24"/>
                <w:vertAlign w:val="superscript"/>
              </w:rPr>
              <w:t xml:space="preserve">3 </w:t>
            </w:r>
            <w:r>
              <w:rPr>
                <w:rFonts w:hint="eastAsia"/>
                <w:color w:val="auto"/>
                <w:spacing w:val="-2"/>
                <w:sz w:val="24"/>
              </w:rPr>
              <w:t>，一般柴油发电机空气过剩系数为</w:t>
            </w:r>
            <w:r>
              <w:rPr>
                <w:color w:val="auto"/>
                <w:spacing w:val="-2"/>
                <w:sz w:val="24"/>
              </w:rPr>
              <w:t xml:space="preserve">1.8 </w:t>
            </w:r>
            <w:r>
              <w:rPr>
                <w:rFonts w:hint="eastAsia"/>
                <w:color w:val="auto"/>
                <w:spacing w:val="-2"/>
                <w:sz w:val="24"/>
              </w:rPr>
              <w:t>，则发电机每燃烧</w:t>
            </w:r>
            <w:r>
              <w:rPr>
                <w:color w:val="auto"/>
                <w:spacing w:val="-2"/>
                <w:sz w:val="24"/>
              </w:rPr>
              <w:t xml:space="preserve">1kg </w:t>
            </w:r>
            <w:r>
              <w:rPr>
                <w:rFonts w:hint="eastAsia"/>
                <w:color w:val="auto"/>
                <w:spacing w:val="-2"/>
                <w:sz w:val="24"/>
              </w:rPr>
              <w:t>柴油产生的烟气量为</w:t>
            </w:r>
            <w:r>
              <w:rPr>
                <w:color w:val="auto"/>
                <w:spacing w:val="-2"/>
                <w:sz w:val="24"/>
              </w:rPr>
              <w:t xml:space="preserve"> 19.8Nm</w:t>
            </w:r>
            <w:r>
              <w:rPr>
                <w:color w:val="auto"/>
                <w:spacing w:val="-2"/>
                <w:sz w:val="24"/>
                <w:vertAlign w:val="superscript"/>
              </w:rPr>
              <w:t>3</w:t>
            </w:r>
            <w:r>
              <w:rPr>
                <w:rFonts w:hint="eastAsia"/>
                <w:color w:val="auto"/>
                <w:spacing w:val="-2"/>
                <w:sz w:val="24"/>
              </w:rPr>
              <w:t>。经计算得烟气排放量约为</w:t>
            </w:r>
            <w:r>
              <w:rPr>
                <w:color w:val="auto"/>
                <w:spacing w:val="-2"/>
                <w:sz w:val="24"/>
              </w:rPr>
              <w:t>1683Nm</w:t>
            </w:r>
            <w:r>
              <w:rPr>
                <w:color w:val="auto"/>
                <w:spacing w:val="-2"/>
                <w:sz w:val="24"/>
                <w:vertAlign w:val="superscript"/>
              </w:rPr>
              <w:t>3</w:t>
            </w:r>
            <w:r>
              <w:rPr>
                <w:color w:val="auto"/>
                <w:spacing w:val="-2"/>
                <w:sz w:val="24"/>
              </w:rPr>
              <w:t>/h</w:t>
            </w:r>
            <w:r>
              <w:rPr>
                <w:rFonts w:hint="eastAsia"/>
                <w:color w:val="auto"/>
                <w:spacing w:val="-2"/>
                <w:sz w:val="24"/>
              </w:rPr>
              <w:t>。</w:t>
            </w:r>
          </w:p>
          <w:p>
            <w:pPr>
              <w:spacing w:line="500" w:lineRule="exact"/>
              <w:ind w:firstLine="464"/>
              <w:rPr>
                <w:color w:val="auto"/>
                <w:spacing w:val="-2"/>
                <w:sz w:val="24"/>
              </w:rPr>
            </w:pPr>
            <w:r>
              <w:rPr>
                <w:color w:val="auto"/>
                <w:spacing w:val="-2"/>
                <w:sz w:val="24"/>
              </w:rPr>
              <w:t>备用发电机烟气收集后经碱喷淋装置处理后</w:t>
            </w:r>
            <w:r>
              <w:rPr>
                <w:rFonts w:hint="eastAsia"/>
                <w:color w:val="auto"/>
                <w:spacing w:val="-2"/>
                <w:sz w:val="24"/>
              </w:rPr>
              <w:t>经15米</w:t>
            </w:r>
            <w:r>
              <w:rPr>
                <w:color w:val="auto"/>
                <w:spacing w:val="-2"/>
                <w:sz w:val="24"/>
              </w:rPr>
              <w:t>高排气筒排放</w:t>
            </w:r>
            <w:r>
              <w:rPr>
                <w:color w:val="auto"/>
              </w:rPr>
              <w:t>，</w:t>
            </w:r>
            <w:r>
              <w:rPr>
                <w:color w:val="auto"/>
                <w:spacing w:val="-2"/>
                <w:sz w:val="24"/>
              </w:rPr>
              <w:t>SO</w:t>
            </w:r>
            <w:r>
              <w:rPr>
                <w:color w:val="auto"/>
                <w:spacing w:val="-2"/>
                <w:sz w:val="24"/>
                <w:vertAlign w:val="subscript"/>
              </w:rPr>
              <w:t>2</w:t>
            </w:r>
            <w:r>
              <w:rPr>
                <w:rFonts w:hint="eastAsia"/>
                <w:color w:val="auto"/>
                <w:spacing w:val="-2"/>
                <w:sz w:val="24"/>
              </w:rPr>
              <w:t>、</w:t>
            </w:r>
            <w:r>
              <w:rPr>
                <w:color w:val="auto"/>
                <w:spacing w:val="-2"/>
                <w:sz w:val="24"/>
              </w:rPr>
              <w:t>NOx</w:t>
            </w:r>
            <w:r>
              <w:rPr>
                <w:rFonts w:hint="eastAsia"/>
                <w:color w:val="auto"/>
                <w:spacing w:val="-2"/>
                <w:sz w:val="24"/>
              </w:rPr>
              <w:t>等污染物排放情况见表</w:t>
            </w:r>
            <w:r>
              <w:rPr>
                <w:color w:val="auto"/>
                <w:spacing w:val="-2"/>
                <w:sz w:val="24"/>
              </w:rPr>
              <w:t>5-5</w:t>
            </w:r>
            <w:r>
              <w:rPr>
                <w:rFonts w:hint="eastAsia"/>
                <w:color w:val="auto"/>
                <w:spacing w:val="-2"/>
                <w:sz w:val="24"/>
              </w:rPr>
              <w:t>。</w:t>
            </w:r>
          </w:p>
          <w:p>
            <w:pPr>
              <w:pStyle w:val="66"/>
              <w:spacing w:beforeLines="0" w:line="360" w:lineRule="auto"/>
              <w:rPr>
                <w:rFonts w:ascii="Times New Roman" w:hAnsi="Times New Roman" w:cs="Times New Roman"/>
                <w:color w:val="auto"/>
                <w:szCs w:val="21"/>
              </w:rPr>
            </w:pPr>
            <w:r>
              <w:rPr>
                <w:rFonts w:hint="eastAsia" w:ascii="Times New Roman" w:hAnsi="Times New Roman" w:cs="Times New Roman"/>
                <w:color w:val="auto"/>
                <w:szCs w:val="21"/>
              </w:rPr>
              <w:t>表</w:t>
            </w:r>
            <w:r>
              <w:rPr>
                <w:rFonts w:ascii="Times New Roman" w:hAnsi="Times New Roman" w:cs="Times New Roman"/>
                <w:color w:val="auto"/>
                <w:szCs w:val="21"/>
              </w:rPr>
              <w:t xml:space="preserve">5-5  </w:t>
            </w:r>
            <w:r>
              <w:rPr>
                <w:rFonts w:hint="eastAsia" w:ascii="Times New Roman" w:hAnsi="Times New Roman" w:cs="Times New Roman"/>
                <w:color w:val="auto"/>
                <w:szCs w:val="21"/>
              </w:rPr>
              <w:t>备用发电机的污染物排放情况</w:t>
            </w:r>
          </w:p>
          <w:tbl>
            <w:tblPr>
              <w:tblStyle w:val="29"/>
              <w:tblW w:w="8481"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99" w:type="dxa"/>
                <w:bottom w:w="0" w:type="dxa"/>
                <w:right w:w="99" w:type="dxa"/>
              </w:tblCellMar>
            </w:tblPr>
            <w:tblGrid>
              <w:gridCol w:w="944"/>
              <w:gridCol w:w="1903"/>
              <w:gridCol w:w="1153"/>
              <w:gridCol w:w="1010"/>
              <w:gridCol w:w="865"/>
              <w:gridCol w:w="853"/>
              <w:gridCol w:w="863"/>
              <w:gridCol w:w="13"/>
              <w:gridCol w:w="864"/>
              <w:gridCol w:w="13"/>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cantSplit/>
                <w:trHeight w:val="561" w:hRule="atLeast"/>
                <w:jc w:val="center"/>
              </w:trPr>
              <w:tc>
                <w:tcPr>
                  <w:tcW w:w="944" w:type="dxa"/>
                  <w:vAlign w:val="center"/>
                </w:tcPr>
                <w:p>
                  <w:pPr>
                    <w:autoSpaceDN w:val="0"/>
                    <w:adjustRightInd w:val="0"/>
                    <w:snapToGrid w:val="0"/>
                    <w:jc w:val="center"/>
                    <w:rPr>
                      <w:b/>
                      <w:color w:val="auto"/>
                      <w:szCs w:val="21"/>
                    </w:rPr>
                  </w:pPr>
                  <w:r>
                    <w:rPr>
                      <w:b/>
                      <w:color w:val="auto"/>
                      <w:szCs w:val="21"/>
                    </w:rPr>
                    <w:t>发电机</w:t>
                  </w:r>
                </w:p>
              </w:tc>
              <w:tc>
                <w:tcPr>
                  <w:tcW w:w="1903" w:type="dxa"/>
                  <w:vAlign w:val="center"/>
                </w:tcPr>
                <w:p>
                  <w:pPr>
                    <w:autoSpaceDN w:val="0"/>
                    <w:adjustRightInd w:val="0"/>
                    <w:snapToGrid w:val="0"/>
                    <w:jc w:val="center"/>
                    <w:rPr>
                      <w:b/>
                      <w:color w:val="auto"/>
                      <w:szCs w:val="21"/>
                    </w:rPr>
                  </w:pPr>
                  <w:r>
                    <w:rPr>
                      <w:b/>
                      <w:color w:val="auto"/>
                      <w:szCs w:val="21"/>
                    </w:rPr>
                    <w:t>污染物</w:t>
                  </w:r>
                </w:p>
              </w:tc>
              <w:tc>
                <w:tcPr>
                  <w:tcW w:w="1153" w:type="dxa"/>
                  <w:vAlign w:val="center"/>
                </w:tcPr>
                <w:p>
                  <w:pPr>
                    <w:autoSpaceDN w:val="0"/>
                    <w:adjustRightInd w:val="0"/>
                    <w:snapToGrid w:val="0"/>
                    <w:jc w:val="center"/>
                    <w:rPr>
                      <w:b/>
                      <w:color w:val="auto"/>
                      <w:szCs w:val="21"/>
                    </w:rPr>
                  </w:pPr>
                  <w:r>
                    <w:rPr>
                      <w:b/>
                      <w:color w:val="auto"/>
                      <w:szCs w:val="21"/>
                    </w:rPr>
                    <w:t>耗油量 (L/a)</w:t>
                  </w:r>
                </w:p>
              </w:tc>
              <w:tc>
                <w:tcPr>
                  <w:tcW w:w="1010" w:type="dxa"/>
                  <w:vAlign w:val="center"/>
                </w:tcPr>
                <w:p>
                  <w:pPr>
                    <w:autoSpaceDN w:val="0"/>
                    <w:adjustRightInd w:val="0"/>
                    <w:snapToGrid w:val="0"/>
                    <w:jc w:val="center"/>
                    <w:rPr>
                      <w:b/>
                      <w:color w:val="auto"/>
                      <w:szCs w:val="21"/>
                    </w:rPr>
                  </w:pPr>
                  <w:r>
                    <w:rPr>
                      <w:b/>
                      <w:color w:val="auto"/>
                      <w:szCs w:val="21"/>
                    </w:rPr>
                    <w:t>烟气产生量(Nm</w:t>
                  </w:r>
                  <w:r>
                    <w:rPr>
                      <w:b/>
                      <w:color w:val="auto"/>
                      <w:szCs w:val="21"/>
                      <w:vertAlign w:val="superscript"/>
                    </w:rPr>
                    <w:t>3</w:t>
                  </w:r>
                  <w:r>
                    <w:rPr>
                      <w:b/>
                      <w:color w:val="auto"/>
                      <w:szCs w:val="21"/>
                    </w:rPr>
                    <w:t>/h)</w:t>
                  </w:r>
                </w:p>
              </w:tc>
              <w:tc>
                <w:tcPr>
                  <w:tcW w:w="865" w:type="dxa"/>
                  <w:vAlign w:val="center"/>
                </w:tcPr>
                <w:p>
                  <w:pPr>
                    <w:autoSpaceDN w:val="0"/>
                    <w:adjustRightInd w:val="0"/>
                    <w:snapToGrid w:val="0"/>
                    <w:jc w:val="center"/>
                    <w:rPr>
                      <w:b/>
                      <w:color w:val="auto"/>
                      <w:szCs w:val="21"/>
                    </w:rPr>
                  </w:pPr>
                  <w:r>
                    <w:rPr>
                      <w:b/>
                      <w:color w:val="auto"/>
                      <w:szCs w:val="21"/>
                    </w:rPr>
                    <w:t>烟尘</w:t>
                  </w:r>
                </w:p>
              </w:tc>
              <w:tc>
                <w:tcPr>
                  <w:tcW w:w="853" w:type="dxa"/>
                  <w:vAlign w:val="center"/>
                </w:tcPr>
                <w:p>
                  <w:pPr>
                    <w:autoSpaceDN w:val="0"/>
                    <w:adjustRightInd w:val="0"/>
                    <w:snapToGrid w:val="0"/>
                    <w:jc w:val="center"/>
                    <w:rPr>
                      <w:b/>
                      <w:color w:val="auto"/>
                      <w:szCs w:val="21"/>
                    </w:rPr>
                  </w:pPr>
                  <w:r>
                    <w:rPr>
                      <w:b/>
                      <w:color w:val="auto"/>
                      <w:szCs w:val="21"/>
                    </w:rPr>
                    <w:t>SO</w:t>
                  </w:r>
                  <w:r>
                    <w:rPr>
                      <w:b/>
                      <w:color w:val="auto"/>
                      <w:szCs w:val="21"/>
                      <w:vertAlign w:val="subscript"/>
                    </w:rPr>
                    <w:t>2</w:t>
                  </w:r>
                </w:p>
              </w:tc>
              <w:tc>
                <w:tcPr>
                  <w:tcW w:w="876" w:type="dxa"/>
                  <w:gridSpan w:val="2"/>
                  <w:vAlign w:val="center"/>
                </w:tcPr>
                <w:p>
                  <w:pPr>
                    <w:autoSpaceDN w:val="0"/>
                    <w:adjustRightInd w:val="0"/>
                    <w:snapToGrid w:val="0"/>
                    <w:jc w:val="center"/>
                    <w:rPr>
                      <w:b/>
                      <w:color w:val="auto"/>
                      <w:szCs w:val="21"/>
                    </w:rPr>
                  </w:pPr>
                  <w:r>
                    <w:rPr>
                      <w:b/>
                      <w:color w:val="auto"/>
                      <w:szCs w:val="21"/>
                    </w:rPr>
                    <w:t>NO</w:t>
                  </w:r>
                  <w:r>
                    <w:rPr>
                      <w:b/>
                      <w:color w:val="auto"/>
                      <w:szCs w:val="21"/>
                      <w:vertAlign w:val="subscript"/>
                    </w:rPr>
                    <w:t>x</w:t>
                  </w:r>
                </w:p>
              </w:tc>
              <w:tc>
                <w:tcPr>
                  <w:tcW w:w="877" w:type="dxa"/>
                  <w:gridSpan w:val="2"/>
                  <w:vAlign w:val="center"/>
                </w:tcPr>
                <w:p>
                  <w:pPr>
                    <w:autoSpaceDN w:val="0"/>
                    <w:adjustRightInd w:val="0"/>
                    <w:snapToGrid w:val="0"/>
                    <w:jc w:val="center"/>
                    <w:rPr>
                      <w:b/>
                      <w:color w:val="auto"/>
                      <w:szCs w:val="21"/>
                    </w:rPr>
                  </w:pPr>
                  <w:r>
                    <w:rPr>
                      <w:b/>
                      <w:color w:val="auto"/>
                      <w:szCs w:val="21"/>
                    </w:rPr>
                    <w:t>CO</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restart"/>
                  <w:vAlign w:val="center"/>
                </w:tcPr>
                <w:p>
                  <w:pPr>
                    <w:autoSpaceDN w:val="0"/>
                    <w:adjustRightInd w:val="0"/>
                    <w:snapToGrid w:val="0"/>
                    <w:jc w:val="center"/>
                    <w:rPr>
                      <w:color w:val="auto"/>
                      <w:szCs w:val="21"/>
                    </w:rPr>
                  </w:pPr>
                  <w:r>
                    <w:rPr>
                      <w:color w:val="auto"/>
                      <w:szCs w:val="21"/>
                    </w:rPr>
                    <w:t>400KW</w:t>
                  </w:r>
                </w:p>
              </w:tc>
              <w:tc>
                <w:tcPr>
                  <w:tcW w:w="1903" w:type="dxa"/>
                  <w:vAlign w:val="center"/>
                </w:tcPr>
                <w:p>
                  <w:pPr>
                    <w:autoSpaceDN w:val="0"/>
                    <w:adjustRightInd w:val="0"/>
                    <w:snapToGrid w:val="0"/>
                    <w:jc w:val="center"/>
                    <w:rPr>
                      <w:color w:val="auto"/>
                      <w:szCs w:val="21"/>
                    </w:rPr>
                  </w:pPr>
                  <w:r>
                    <w:rPr>
                      <w:color w:val="auto"/>
                      <w:szCs w:val="21"/>
                    </w:rPr>
                    <w:t>产生浓度(mg/m</w:t>
                  </w:r>
                  <w:r>
                    <w:rPr>
                      <w:color w:val="auto"/>
                      <w:szCs w:val="21"/>
                      <w:vertAlign w:val="superscript"/>
                    </w:rPr>
                    <w:t>3</w:t>
                  </w:r>
                  <w:r>
                    <w:rPr>
                      <w:color w:val="auto"/>
                      <w:szCs w:val="21"/>
                    </w:rPr>
                    <w:t>)</w:t>
                  </w:r>
                </w:p>
              </w:tc>
              <w:tc>
                <w:tcPr>
                  <w:tcW w:w="1153" w:type="dxa"/>
                  <w:vMerge w:val="restart"/>
                  <w:vAlign w:val="center"/>
                </w:tcPr>
                <w:p>
                  <w:pPr>
                    <w:autoSpaceDN w:val="0"/>
                    <w:adjustRightInd w:val="0"/>
                    <w:snapToGrid w:val="0"/>
                    <w:jc w:val="center"/>
                    <w:rPr>
                      <w:color w:val="auto"/>
                      <w:szCs w:val="21"/>
                    </w:rPr>
                  </w:pPr>
                  <w:r>
                    <w:rPr>
                      <w:color w:val="auto"/>
                      <w:szCs w:val="21"/>
                    </w:rPr>
                    <w:t>2200</w:t>
                  </w:r>
                </w:p>
              </w:tc>
              <w:tc>
                <w:tcPr>
                  <w:tcW w:w="1010" w:type="dxa"/>
                  <w:vMerge w:val="restart"/>
                  <w:vAlign w:val="center"/>
                </w:tcPr>
                <w:p>
                  <w:pPr>
                    <w:autoSpaceDN w:val="0"/>
                    <w:adjustRightInd w:val="0"/>
                    <w:snapToGrid w:val="0"/>
                    <w:jc w:val="center"/>
                    <w:rPr>
                      <w:color w:val="auto"/>
                      <w:szCs w:val="21"/>
                    </w:rPr>
                  </w:pPr>
                  <w:r>
                    <w:rPr>
                      <w:color w:val="auto"/>
                      <w:spacing w:val="-2"/>
                      <w:szCs w:val="21"/>
                    </w:rPr>
                    <w:t>1683</w:t>
                  </w:r>
                </w:p>
              </w:tc>
              <w:tc>
                <w:tcPr>
                  <w:tcW w:w="865" w:type="dxa"/>
                  <w:vAlign w:val="center"/>
                </w:tcPr>
                <w:p>
                  <w:pPr>
                    <w:autoSpaceDN w:val="0"/>
                    <w:adjustRightInd w:val="0"/>
                    <w:snapToGrid w:val="0"/>
                    <w:jc w:val="center"/>
                    <w:rPr>
                      <w:color w:val="auto"/>
                      <w:szCs w:val="21"/>
                    </w:rPr>
                  </w:pPr>
                  <w:r>
                    <w:rPr>
                      <w:color w:val="auto"/>
                      <w:szCs w:val="21"/>
                    </w:rPr>
                    <w:t>41.59</w:t>
                  </w:r>
                </w:p>
              </w:tc>
              <w:tc>
                <w:tcPr>
                  <w:tcW w:w="853" w:type="dxa"/>
                  <w:vAlign w:val="center"/>
                </w:tcPr>
                <w:p>
                  <w:pPr>
                    <w:autoSpaceDN w:val="0"/>
                    <w:adjustRightInd w:val="0"/>
                    <w:snapToGrid w:val="0"/>
                    <w:jc w:val="center"/>
                    <w:rPr>
                      <w:color w:val="auto"/>
                      <w:szCs w:val="21"/>
                    </w:rPr>
                  </w:pPr>
                  <w:r>
                    <w:rPr>
                      <w:color w:val="auto"/>
                      <w:szCs w:val="21"/>
                    </w:rPr>
                    <w:t>197.98</w:t>
                  </w:r>
                </w:p>
              </w:tc>
              <w:tc>
                <w:tcPr>
                  <w:tcW w:w="863" w:type="dxa"/>
                  <w:vAlign w:val="center"/>
                </w:tcPr>
                <w:p>
                  <w:pPr>
                    <w:autoSpaceDN w:val="0"/>
                    <w:adjustRightInd w:val="0"/>
                    <w:snapToGrid w:val="0"/>
                    <w:jc w:val="center"/>
                    <w:rPr>
                      <w:color w:val="auto"/>
                      <w:szCs w:val="21"/>
                    </w:rPr>
                  </w:pPr>
                  <w:r>
                    <w:rPr>
                      <w:color w:val="auto"/>
                      <w:szCs w:val="21"/>
                    </w:rPr>
                    <w:t>148.60</w:t>
                  </w:r>
                </w:p>
              </w:tc>
              <w:tc>
                <w:tcPr>
                  <w:tcW w:w="877" w:type="dxa"/>
                  <w:gridSpan w:val="2"/>
                </w:tcPr>
                <w:p>
                  <w:pPr>
                    <w:autoSpaceDN w:val="0"/>
                    <w:adjustRightInd w:val="0"/>
                    <w:snapToGrid w:val="0"/>
                    <w:jc w:val="center"/>
                    <w:rPr>
                      <w:color w:val="auto"/>
                      <w:szCs w:val="21"/>
                    </w:rPr>
                  </w:pPr>
                  <w:r>
                    <w:rPr>
                      <w:color w:val="auto"/>
                      <w:szCs w:val="21"/>
                    </w:rPr>
                    <w:t>88.47</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continue"/>
                  <w:vAlign w:val="center"/>
                </w:tcPr>
                <w:p>
                  <w:pPr>
                    <w:autoSpaceDN w:val="0"/>
                    <w:adjustRightInd w:val="0"/>
                    <w:snapToGrid w:val="0"/>
                    <w:jc w:val="center"/>
                    <w:rPr>
                      <w:color w:val="auto"/>
                      <w:szCs w:val="21"/>
                    </w:rPr>
                  </w:pPr>
                </w:p>
              </w:tc>
              <w:tc>
                <w:tcPr>
                  <w:tcW w:w="1903" w:type="dxa"/>
                  <w:vAlign w:val="center"/>
                </w:tcPr>
                <w:p>
                  <w:pPr>
                    <w:autoSpaceDN w:val="0"/>
                    <w:adjustRightInd w:val="0"/>
                    <w:snapToGrid w:val="0"/>
                    <w:jc w:val="center"/>
                    <w:rPr>
                      <w:color w:val="auto"/>
                      <w:szCs w:val="21"/>
                    </w:rPr>
                  </w:pPr>
                  <w:r>
                    <w:rPr>
                      <w:color w:val="auto"/>
                      <w:szCs w:val="21"/>
                    </w:rPr>
                    <w:t>产生速率(kg/h)</w:t>
                  </w:r>
                </w:p>
              </w:tc>
              <w:tc>
                <w:tcPr>
                  <w:tcW w:w="1153" w:type="dxa"/>
                  <w:vMerge w:val="continue"/>
                  <w:vAlign w:val="center"/>
                </w:tcPr>
                <w:p>
                  <w:pPr>
                    <w:autoSpaceDN w:val="0"/>
                    <w:adjustRightInd w:val="0"/>
                    <w:snapToGrid w:val="0"/>
                    <w:jc w:val="center"/>
                    <w:rPr>
                      <w:color w:val="auto"/>
                      <w:szCs w:val="21"/>
                    </w:rPr>
                  </w:pPr>
                </w:p>
              </w:tc>
              <w:tc>
                <w:tcPr>
                  <w:tcW w:w="1010" w:type="dxa"/>
                  <w:vMerge w:val="continue"/>
                  <w:vAlign w:val="center"/>
                </w:tcPr>
                <w:p>
                  <w:pPr>
                    <w:autoSpaceDN w:val="0"/>
                    <w:adjustRightInd w:val="0"/>
                    <w:snapToGrid w:val="0"/>
                    <w:jc w:val="center"/>
                    <w:rPr>
                      <w:color w:val="auto"/>
                      <w:szCs w:val="21"/>
                    </w:rPr>
                  </w:pPr>
                </w:p>
              </w:tc>
              <w:tc>
                <w:tcPr>
                  <w:tcW w:w="865" w:type="dxa"/>
                  <w:vAlign w:val="center"/>
                </w:tcPr>
                <w:p>
                  <w:pPr>
                    <w:autoSpaceDN w:val="0"/>
                    <w:adjustRightInd w:val="0"/>
                    <w:snapToGrid w:val="0"/>
                    <w:jc w:val="center"/>
                    <w:rPr>
                      <w:color w:val="auto"/>
                      <w:szCs w:val="21"/>
                    </w:rPr>
                  </w:pPr>
                  <w:r>
                    <w:rPr>
                      <w:color w:val="auto"/>
                      <w:szCs w:val="21"/>
                    </w:rPr>
                    <w:t>0.07</w:t>
                  </w:r>
                </w:p>
              </w:tc>
              <w:tc>
                <w:tcPr>
                  <w:tcW w:w="853" w:type="dxa"/>
                  <w:vAlign w:val="center"/>
                </w:tcPr>
                <w:p>
                  <w:pPr>
                    <w:autoSpaceDN w:val="0"/>
                    <w:adjustRightInd w:val="0"/>
                    <w:snapToGrid w:val="0"/>
                    <w:jc w:val="center"/>
                    <w:rPr>
                      <w:color w:val="auto"/>
                      <w:szCs w:val="21"/>
                    </w:rPr>
                  </w:pPr>
                  <w:r>
                    <w:rPr>
                      <w:color w:val="auto"/>
                      <w:szCs w:val="21"/>
                    </w:rPr>
                    <w:t>0.37</w:t>
                  </w:r>
                </w:p>
              </w:tc>
              <w:tc>
                <w:tcPr>
                  <w:tcW w:w="863" w:type="dxa"/>
                  <w:vAlign w:val="center"/>
                </w:tcPr>
                <w:p>
                  <w:pPr>
                    <w:autoSpaceDN w:val="0"/>
                    <w:adjustRightInd w:val="0"/>
                    <w:snapToGrid w:val="0"/>
                    <w:jc w:val="center"/>
                    <w:rPr>
                      <w:color w:val="auto"/>
                      <w:szCs w:val="21"/>
                    </w:rPr>
                  </w:pPr>
                  <w:r>
                    <w:rPr>
                      <w:color w:val="auto"/>
                      <w:szCs w:val="21"/>
                    </w:rPr>
                    <w:t>0.26</w:t>
                  </w:r>
                </w:p>
              </w:tc>
              <w:tc>
                <w:tcPr>
                  <w:tcW w:w="877" w:type="dxa"/>
                  <w:gridSpan w:val="2"/>
                </w:tcPr>
                <w:p>
                  <w:pPr>
                    <w:autoSpaceDN w:val="0"/>
                    <w:adjustRightInd w:val="0"/>
                    <w:snapToGrid w:val="0"/>
                    <w:jc w:val="center"/>
                    <w:rPr>
                      <w:color w:val="auto"/>
                      <w:szCs w:val="21"/>
                    </w:rPr>
                  </w:pPr>
                  <w:r>
                    <w:rPr>
                      <w:color w:val="auto"/>
                      <w:szCs w:val="21"/>
                    </w:rPr>
                    <w:t>0.15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continue"/>
                  <w:vAlign w:val="center"/>
                </w:tcPr>
                <w:p>
                  <w:pPr>
                    <w:autoSpaceDN w:val="0"/>
                    <w:adjustRightInd w:val="0"/>
                    <w:snapToGrid w:val="0"/>
                    <w:jc w:val="center"/>
                    <w:rPr>
                      <w:color w:val="auto"/>
                      <w:szCs w:val="21"/>
                    </w:rPr>
                  </w:pPr>
                </w:p>
              </w:tc>
              <w:tc>
                <w:tcPr>
                  <w:tcW w:w="1903" w:type="dxa"/>
                  <w:vAlign w:val="center"/>
                </w:tcPr>
                <w:p>
                  <w:pPr>
                    <w:autoSpaceDN w:val="0"/>
                    <w:adjustRightInd w:val="0"/>
                    <w:snapToGrid w:val="0"/>
                    <w:jc w:val="center"/>
                    <w:rPr>
                      <w:color w:val="auto"/>
                      <w:szCs w:val="21"/>
                    </w:rPr>
                  </w:pPr>
                  <w:r>
                    <w:rPr>
                      <w:color w:val="auto"/>
                      <w:szCs w:val="21"/>
                    </w:rPr>
                    <w:t>产生量(kg/a)</w:t>
                  </w:r>
                </w:p>
              </w:tc>
              <w:tc>
                <w:tcPr>
                  <w:tcW w:w="1153" w:type="dxa"/>
                  <w:vMerge w:val="continue"/>
                  <w:vAlign w:val="center"/>
                </w:tcPr>
                <w:p>
                  <w:pPr>
                    <w:autoSpaceDN w:val="0"/>
                    <w:adjustRightInd w:val="0"/>
                    <w:snapToGrid w:val="0"/>
                    <w:jc w:val="center"/>
                    <w:rPr>
                      <w:color w:val="auto"/>
                      <w:szCs w:val="21"/>
                    </w:rPr>
                  </w:pPr>
                </w:p>
              </w:tc>
              <w:tc>
                <w:tcPr>
                  <w:tcW w:w="1010" w:type="dxa"/>
                  <w:vMerge w:val="continue"/>
                  <w:vAlign w:val="center"/>
                </w:tcPr>
                <w:p>
                  <w:pPr>
                    <w:autoSpaceDN w:val="0"/>
                    <w:adjustRightInd w:val="0"/>
                    <w:snapToGrid w:val="0"/>
                    <w:jc w:val="center"/>
                    <w:rPr>
                      <w:color w:val="auto"/>
                      <w:szCs w:val="21"/>
                    </w:rPr>
                  </w:pPr>
                </w:p>
              </w:tc>
              <w:tc>
                <w:tcPr>
                  <w:tcW w:w="865" w:type="dxa"/>
                  <w:vAlign w:val="center"/>
                </w:tcPr>
                <w:p>
                  <w:pPr>
                    <w:autoSpaceDN w:val="0"/>
                    <w:adjustRightInd w:val="0"/>
                    <w:snapToGrid w:val="0"/>
                    <w:jc w:val="center"/>
                    <w:rPr>
                      <w:color w:val="auto"/>
                      <w:szCs w:val="21"/>
                    </w:rPr>
                  </w:pPr>
                  <w:r>
                    <w:rPr>
                      <w:color w:val="auto"/>
                      <w:szCs w:val="21"/>
                    </w:rPr>
                    <w:t>1.57</w:t>
                  </w:r>
                </w:p>
              </w:tc>
              <w:tc>
                <w:tcPr>
                  <w:tcW w:w="853" w:type="dxa"/>
                  <w:vAlign w:val="center"/>
                </w:tcPr>
                <w:p>
                  <w:pPr>
                    <w:autoSpaceDN w:val="0"/>
                    <w:adjustRightInd w:val="0"/>
                    <w:snapToGrid w:val="0"/>
                    <w:jc w:val="center"/>
                    <w:rPr>
                      <w:color w:val="auto"/>
                      <w:szCs w:val="21"/>
                    </w:rPr>
                  </w:pPr>
                  <w:r>
                    <w:rPr>
                      <w:color w:val="auto"/>
                      <w:szCs w:val="21"/>
                    </w:rPr>
                    <w:t>7.48</w:t>
                  </w:r>
                </w:p>
              </w:tc>
              <w:tc>
                <w:tcPr>
                  <w:tcW w:w="863" w:type="dxa"/>
                  <w:vAlign w:val="center"/>
                </w:tcPr>
                <w:p>
                  <w:pPr>
                    <w:autoSpaceDN w:val="0"/>
                    <w:adjustRightInd w:val="0"/>
                    <w:snapToGrid w:val="0"/>
                    <w:jc w:val="center"/>
                    <w:rPr>
                      <w:color w:val="auto"/>
                      <w:szCs w:val="21"/>
                    </w:rPr>
                  </w:pPr>
                  <w:r>
                    <w:rPr>
                      <w:color w:val="auto"/>
                      <w:szCs w:val="21"/>
                    </w:rPr>
                    <w:t>5.63</w:t>
                  </w:r>
                </w:p>
              </w:tc>
              <w:tc>
                <w:tcPr>
                  <w:tcW w:w="877" w:type="dxa"/>
                  <w:gridSpan w:val="2"/>
                </w:tcPr>
                <w:p>
                  <w:pPr>
                    <w:autoSpaceDN w:val="0"/>
                    <w:adjustRightInd w:val="0"/>
                    <w:snapToGrid w:val="0"/>
                    <w:jc w:val="center"/>
                    <w:rPr>
                      <w:color w:val="auto"/>
                      <w:szCs w:val="21"/>
                    </w:rPr>
                  </w:pPr>
                  <w:r>
                    <w:rPr>
                      <w:color w:val="auto"/>
                      <w:szCs w:val="21"/>
                    </w:rPr>
                    <w:t>3.34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continue"/>
                  <w:vAlign w:val="center"/>
                </w:tcPr>
                <w:p>
                  <w:pPr>
                    <w:autoSpaceDN w:val="0"/>
                    <w:adjustRightInd w:val="0"/>
                    <w:snapToGrid w:val="0"/>
                    <w:jc w:val="center"/>
                    <w:rPr>
                      <w:color w:val="auto"/>
                      <w:szCs w:val="21"/>
                    </w:rPr>
                  </w:pPr>
                </w:p>
              </w:tc>
              <w:tc>
                <w:tcPr>
                  <w:tcW w:w="1903" w:type="dxa"/>
                  <w:vAlign w:val="center"/>
                </w:tcPr>
                <w:p>
                  <w:pPr>
                    <w:autoSpaceDN w:val="0"/>
                    <w:adjustRightInd w:val="0"/>
                    <w:snapToGrid w:val="0"/>
                    <w:jc w:val="center"/>
                    <w:rPr>
                      <w:color w:val="auto"/>
                      <w:szCs w:val="21"/>
                    </w:rPr>
                  </w:pPr>
                  <w:r>
                    <w:rPr>
                      <w:rFonts w:hint="eastAsia"/>
                      <w:color w:val="auto"/>
                      <w:szCs w:val="21"/>
                    </w:rPr>
                    <w:t>排放</w:t>
                  </w:r>
                  <w:r>
                    <w:rPr>
                      <w:color w:val="auto"/>
                      <w:szCs w:val="21"/>
                    </w:rPr>
                    <w:t>浓度(mg/m</w:t>
                  </w:r>
                  <w:r>
                    <w:rPr>
                      <w:color w:val="auto"/>
                      <w:szCs w:val="21"/>
                      <w:vertAlign w:val="superscript"/>
                    </w:rPr>
                    <w:t>3</w:t>
                  </w:r>
                  <w:r>
                    <w:rPr>
                      <w:color w:val="auto"/>
                      <w:szCs w:val="21"/>
                    </w:rPr>
                    <w:t>)</w:t>
                  </w:r>
                </w:p>
              </w:tc>
              <w:tc>
                <w:tcPr>
                  <w:tcW w:w="1153" w:type="dxa"/>
                  <w:vMerge w:val="continue"/>
                  <w:vAlign w:val="center"/>
                </w:tcPr>
                <w:p>
                  <w:pPr>
                    <w:autoSpaceDN w:val="0"/>
                    <w:adjustRightInd w:val="0"/>
                    <w:snapToGrid w:val="0"/>
                    <w:jc w:val="center"/>
                    <w:rPr>
                      <w:color w:val="auto"/>
                      <w:szCs w:val="21"/>
                    </w:rPr>
                  </w:pPr>
                </w:p>
              </w:tc>
              <w:tc>
                <w:tcPr>
                  <w:tcW w:w="1010" w:type="dxa"/>
                  <w:vMerge w:val="continue"/>
                  <w:vAlign w:val="center"/>
                </w:tcPr>
                <w:p>
                  <w:pPr>
                    <w:autoSpaceDN w:val="0"/>
                    <w:adjustRightInd w:val="0"/>
                    <w:snapToGrid w:val="0"/>
                    <w:jc w:val="center"/>
                    <w:rPr>
                      <w:color w:val="auto"/>
                      <w:szCs w:val="21"/>
                    </w:rPr>
                  </w:pPr>
                </w:p>
              </w:tc>
              <w:tc>
                <w:tcPr>
                  <w:tcW w:w="865" w:type="dxa"/>
                  <w:vAlign w:val="center"/>
                </w:tcPr>
                <w:p>
                  <w:pPr>
                    <w:autoSpaceDN w:val="0"/>
                    <w:adjustRightInd w:val="0"/>
                    <w:snapToGrid w:val="0"/>
                    <w:jc w:val="center"/>
                    <w:rPr>
                      <w:color w:val="auto"/>
                      <w:szCs w:val="21"/>
                    </w:rPr>
                  </w:pPr>
                  <w:r>
                    <w:rPr>
                      <w:rFonts w:hint="eastAsia"/>
                      <w:color w:val="auto"/>
                      <w:szCs w:val="21"/>
                    </w:rPr>
                    <w:t xml:space="preserve">16.64 </w:t>
                  </w:r>
                </w:p>
              </w:tc>
              <w:tc>
                <w:tcPr>
                  <w:tcW w:w="853" w:type="dxa"/>
                  <w:vAlign w:val="center"/>
                </w:tcPr>
                <w:p>
                  <w:pPr>
                    <w:autoSpaceDN w:val="0"/>
                    <w:adjustRightInd w:val="0"/>
                    <w:snapToGrid w:val="0"/>
                    <w:jc w:val="center"/>
                    <w:rPr>
                      <w:color w:val="auto"/>
                      <w:szCs w:val="21"/>
                    </w:rPr>
                  </w:pPr>
                  <w:r>
                    <w:rPr>
                      <w:rFonts w:hint="eastAsia"/>
                      <w:color w:val="auto"/>
                      <w:szCs w:val="21"/>
                    </w:rPr>
                    <w:t xml:space="preserve">98.99 </w:t>
                  </w:r>
                </w:p>
              </w:tc>
              <w:tc>
                <w:tcPr>
                  <w:tcW w:w="863" w:type="dxa"/>
                  <w:vAlign w:val="center"/>
                </w:tcPr>
                <w:p>
                  <w:pPr>
                    <w:autoSpaceDN w:val="0"/>
                    <w:adjustRightInd w:val="0"/>
                    <w:snapToGrid w:val="0"/>
                    <w:jc w:val="center"/>
                    <w:rPr>
                      <w:color w:val="auto"/>
                      <w:szCs w:val="21"/>
                    </w:rPr>
                  </w:pPr>
                  <w:r>
                    <w:rPr>
                      <w:rFonts w:hint="eastAsia"/>
                      <w:color w:val="auto"/>
                      <w:szCs w:val="21"/>
                    </w:rPr>
                    <w:t xml:space="preserve">118.88 </w:t>
                  </w:r>
                </w:p>
              </w:tc>
              <w:tc>
                <w:tcPr>
                  <w:tcW w:w="877" w:type="dxa"/>
                  <w:gridSpan w:val="2"/>
                  <w:vAlign w:val="center"/>
                </w:tcPr>
                <w:p>
                  <w:pPr>
                    <w:autoSpaceDN w:val="0"/>
                    <w:adjustRightInd w:val="0"/>
                    <w:snapToGrid w:val="0"/>
                    <w:jc w:val="center"/>
                    <w:rPr>
                      <w:color w:val="auto"/>
                      <w:szCs w:val="21"/>
                    </w:rPr>
                  </w:pPr>
                  <w:r>
                    <w:rPr>
                      <w:rFonts w:hint="eastAsia"/>
                      <w:color w:val="auto"/>
                      <w:szCs w:val="21"/>
                    </w:rPr>
                    <w:t xml:space="preserve">70.78 </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continue"/>
                  <w:vAlign w:val="center"/>
                </w:tcPr>
                <w:p>
                  <w:pPr>
                    <w:autoSpaceDN w:val="0"/>
                    <w:adjustRightInd w:val="0"/>
                    <w:snapToGrid w:val="0"/>
                    <w:jc w:val="center"/>
                    <w:rPr>
                      <w:color w:val="auto"/>
                      <w:szCs w:val="21"/>
                    </w:rPr>
                  </w:pPr>
                </w:p>
              </w:tc>
              <w:tc>
                <w:tcPr>
                  <w:tcW w:w="1903" w:type="dxa"/>
                  <w:vAlign w:val="center"/>
                </w:tcPr>
                <w:p>
                  <w:pPr>
                    <w:autoSpaceDN w:val="0"/>
                    <w:adjustRightInd w:val="0"/>
                    <w:snapToGrid w:val="0"/>
                    <w:jc w:val="center"/>
                    <w:rPr>
                      <w:color w:val="auto"/>
                      <w:szCs w:val="21"/>
                    </w:rPr>
                  </w:pPr>
                  <w:r>
                    <w:rPr>
                      <w:rFonts w:hint="eastAsia"/>
                      <w:color w:val="auto"/>
                      <w:szCs w:val="21"/>
                    </w:rPr>
                    <w:t>排放</w:t>
                  </w:r>
                  <w:r>
                    <w:rPr>
                      <w:color w:val="auto"/>
                      <w:szCs w:val="21"/>
                    </w:rPr>
                    <w:t>速率(kg/h)</w:t>
                  </w:r>
                </w:p>
              </w:tc>
              <w:tc>
                <w:tcPr>
                  <w:tcW w:w="1153" w:type="dxa"/>
                  <w:vMerge w:val="continue"/>
                  <w:vAlign w:val="center"/>
                </w:tcPr>
                <w:p>
                  <w:pPr>
                    <w:autoSpaceDN w:val="0"/>
                    <w:adjustRightInd w:val="0"/>
                    <w:snapToGrid w:val="0"/>
                    <w:jc w:val="center"/>
                    <w:rPr>
                      <w:color w:val="auto"/>
                      <w:szCs w:val="21"/>
                    </w:rPr>
                  </w:pPr>
                </w:p>
              </w:tc>
              <w:tc>
                <w:tcPr>
                  <w:tcW w:w="1010" w:type="dxa"/>
                  <w:vMerge w:val="continue"/>
                  <w:vAlign w:val="center"/>
                </w:tcPr>
                <w:p>
                  <w:pPr>
                    <w:autoSpaceDN w:val="0"/>
                    <w:adjustRightInd w:val="0"/>
                    <w:snapToGrid w:val="0"/>
                    <w:jc w:val="center"/>
                    <w:rPr>
                      <w:color w:val="auto"/>
                      <w:szCs w:val="21"/>
                    </w:rPr>
                  </w:pPr>
                </w:p>
              </w:tc>
              <w:tc>
                <w:tcPr>
                  <w:tcW w:w="865" w:type="dxa"/>
                  <w:vAlign w:val="center"/>
                </w:tcPr>
                <w:p>
                  <w:pPr>
                    <w:autoSpaceDN w:val="0"/>
                    <w:adjustRightInd w:val="0"/>
                    <w:snapToGrid w:val="0"/>
                    <w:jc w:val="center"/>
                    <w:rPr>
                      <w:color w:val="auto"/>
                      <w:szCs w:val="21"/>
                    </w:rPr>
                  </w:pPr>
                  <w:r>
                    <w:rPr>
                      <w:rFonts w:hint="eastAsia"/>
                      <w:color w:val="auto"/>
                      <w:szCs w:val="21"/>
                    </w:rPr>
                    <w:t xml:space="preserve">0.03 </w:t>
                  </w:r>
                </w:p>
              </w:tc>
              <w:tc>
                <w:tcPr>
                  <w:tcW w:w="853" w:type="dxa"/>
                  <w:vAlign w:val="center"/>
                </w:tcPr>
                <w:p>
                  <w:pPr>
                    <w:autoSpaceDN w:val="0"/>
                    <w:adjustRightInd w:val="0"/>
                    <w:snapToGrid w:val="0"/>
                    <w:jc w:val="center"/>
                    <w:rPr>
                      <w:color w:val="auto"/>
                      <w:szCs w:val="21"/>
                    </w:rPr>
                  </w:pPr>
                  <w:r>
                    <w:rPr>
                      <w:rFonts w:hint="eastAsia"/>
                      <w:color w:val="auto"/>
                      <w:szCs w:val="21"/>
                    </w:rPr>
                    <w:t xml:space="preserve">0.19 </w:t>
                  </w:r>
                </w:p>
              </w:tc>
              <w:tc>
                <w:tcPr>
                  <w:tcW w:w="863" w:type="dxa"/>
                  <w:vAlign w:val="center"/>
                </w:tcPr>
                <w:p>
                  <w:pPr>
                    <w:autoSpaceDN w:val="0"/>
                    <w:adjustRightInd w:val="0"/>
                    <w:snapToGrid w:val="0"/>
                    <w:jc w:val="center"/>
                    <w:rPr>
                      <w:color w:val="auto"/>
                      <w:szCs w:val="21"/>
                    </w:rPr>
                  </w:pPr>
                  <w:r>
                    <w:rPr>
                      <w:rFonts w:hint="eastAsia"/>
                      <w:color w:val="auto"/>
                      <w:szCs w:val="21"/>
                    </w:rPr>
                    <w:t xml:space="preserve">0.21 </w:t>
                  </w:r>
                </w:p>
              </w:tc>
              <w:tc>
                <w:tcPr>
                  <w:tcW w:w="877" w:type="dxa"/>
                  <w:gridSpan w:val="2"/>
                  <w:vAlign w:val="center"/>
                </w:tcPr>
                <w:p>
                  <w:pPr>
                    <w:autoSpaceDN w:val="0"/>
                    <w:adjustRightInd w:val="0"/>
                    <w:snapToGrid w:val="0"/>
                    <w:jc w:val="center"/>
                    <w:rPr>
                      <w:color w:val="auto"/>
                      <w:szCs w:val="21"/>
                    </w:rPr>
                  </w:pPr>
                  <w:r>
                    <w:rPr>
                      <w:rFonts w:hint="eastAsia"/>
                      <w:color w:val="auto"/>
                      <w:szCs w:val="21"/>
                    </w:rPr>
                    <w:t xml:space="preserve">0.12 </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944" w:type="dxa"/>
                  <w:vMerge w:val="continue"/>
                  <w:vAlign w:val="center"/>
                </w:tcPr>
                <w:p>
                  <w:pPr>
                    <w:autoSpaceDN w:val="0"/>
                    <w:adjustRightInd w:val="0"/>
                    <w:snapToGrid w:val="0"/>
                    <w:jc w:val="center"/>
                    <w:rPr>
                      <w:color w:val="auto"/>
                      <w:szCs w:val="21"/>
                    </w:rPr>
                  </w:pPr>
                </w:p>
              </w:tc>
              <w:tc>
                <w:tcPr>
                  <w:tcW w:w="1903" w:type="dxa"/>
                  <w:vAlign w:val="center"/>
                </w:tcPr>
                <w:p>
                  <w:pPr>
                    <w:autoSpaceDN w:val="0"/>
                    <w:adjustRightInd w:val="0"/>
                    <w:snapToGrid w:val="0"/>
                    <w:jc w:val="center"/>
                    <w:rPr>
                      <w:color w:val="auto"/>
                      <w:szCs w:val="21"/>
                    </w:rPr>
                  </w:pPr>
                  <w:r>
                    <w:rPr>
                      <w:rFonts w:hint="eastAsia"/>
                      <w:color w:val="auto"/>
                      <w:szCs w:val="21"/>
                    </w:rPr>
                    <w:t>排放</w:t>
                  </w:r>
                  <w:r>
                    <w:rPr>
                      <w:color w:val="auto"/>
                      <w:szCs w:val="21"/>
                    </w:rPr>
                    <w:t>量(kg/a)</w:t>
                  </w:r>
                </w:p>
              </w:tc>
              <w:tc>
                <w:tcPr>
                  <w:tcW w:w="1153" w:type="dxa"/>
                  <w:vMerge w:val="continue"/>
                  <w:vAlign w:val="center"/>
                </w:tcPr>
                <w:p>
                  <w:pPr>
                    <w:autoSpaceDN w:val="0"/>
                    <w:adjustRightInd w:val="0"/>
                    <w:snapToGrid w:val="0"/>
                    <w:jc w:val="center"/>
                    <w:rPr>
                      <w:color w:val="auto"/>
                      <w:szCs w:val="21"/>
                    </w:rPr>
                  </w:pPr>
                </w:p>
              </w:tc>
              <w:tc>
                <w:tcPr>
                  <w:tcW w:w="1010" w:type="dxa"/>
                  <w:vMerge w:val="continue"/>
                  <w:vAlign w:val="center"/>
                </w:tcPr>
                <w:p>
                  <w:pPr>
                    <w:autoSpaceDN w:val="0"/>
                    <w:adjustRightInd w:val="0"/>
                    <w:snapToGrid w:val="0"/>
                    <w:jc w:val="center"/>
                    <w:rPr>
                      <w:color w:val="auto"/>
                      <w:szCs w:val="21"/>
                    </w:rPr>
                  </w:pPr>
                </w:p>
              </w:tc>
              <w:tc>
                <w:tcPr>
                  <w:tcW w:w="865" w:type="dxa"/>
                  <w:vAlign w:val="center"/>
                </w:tcPr>
                <w:p>
                  <w:pPr>
                    <w:autoSpaceDN w:val="0"/>
                    <w:adjustRightInd w:val="0"/>
                    <w:snapToGrid w:val="0"/>
                    <w:jc w:val="center"/>
                    <w:rPr>
                      <w:color w:val="auto"/>
                      <w:szCs w:val="21"/>
                    </w:rPr>
                  </w:pPr>
                  <w:r>
                    <w:rPr>
                      <w:rFonts w:hint="eastAsia"/>
                      <w:color w:val="auto"/>
                      <w:szCs w:val="21"/>
                    </w:rPr>
                    <w:t xml:space="preserve">0.63 </w:t>
                  </w:r>
                </w:p>
              </w:tc>
              <w:tc>
                <w:tcPr>
                  <w:tcW w:w="853" w:type="dxa"/>
                  <w:vAlign w:val="center"/>
                </w:tcPr>
                <w:p>
                  <w:pPr>
                    <w:autoSpaceDN w:val="0"/>
                    <w:adjustRightInd w:val="0"/>
                    <w:snapToGrid w:val="0"/>
                    <w:jc w:val="center"/>
                    <w:rPr>
                      <w:color w:val="auto"/>
                      <w:szCs w:val="21"/>
                    </w:rPr>
                  </w:pPr>
                  <w:r>
                    <w:rPr>
                      <w:rFonts w:hint="eastAsia"/>
                      <w:color w:val="auto"/>
                      <w:szCs w:val="21"/>
                    </w:rPr>
                    <w:t xml:space="preserve">3.74 </w:t>
                  </w:r>
                </w:p>
              </w:tc>
              <w:tc>
                <w:tcPr>
                  <w:tcW w:w="863" w:type="dxa"/>
                  <w:vAlign w:val="center"/>
                </w:tcPr>
                <w:p>
                  <w:pPr>
                    <w:autoSpaceDN w:val="0"/>
                    <w:adjustRightInd w:val="0"/>
                    <w:snapToGrid w:val="0"/>
                    <w:jc w:val="center"/>
                    <w:rPr>
                      <w:color w:val="auto"/>
                      <w:szCs w:val="21"/>
                    </w:rPr>
                  </w:pPr>
                  <w:r>
                    <w:rPr>
                      <w:rFonts w:hint="eastAsia"/>
                      <w:color w:val="auto"/>
                      <w:szCs w:val="21"/>
                    </w:rPr>
                    <w:t xml:space="preserve">4.50 </w:t>
                  </w:r>
                </w:p>
              </w:tc>
              <w:tc>
                <w:tcPr>
                  <w:tcW w:w="877" w:type="dxa"/>
                  <w:gridSpan w:val="2"/>
                  <w:vAlign w:val="center"/>
                </w:tcPr>
                <w:p>
                  <w:pPr>
                    <w:autoSpaceDN w:val="0"/>
                    <w:adjustRightInd w:val="0"/>
                    <w:snapToGrid w:val="0"/>
                    <w:jc w:val="center"/>
                    <w:rPr>
                      <w:color w:val="auto"/>
                      <w:szCs w:val="21"/>
                    </w:rPr>
                  </w:pPr>
                  <w:r>
                    <w:rPr>
                      <w:rFonts w:hint="eastAsia"/>
                      <w:color w:val="auto"/>
                      <w:szCs w:val="21"/>
                    </w:rPr>
                    <w:t xml:space="preserve">2.67 </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99" w:type="dxa"/>
                  <w:bottom w:w="0" w:type="dxa"/>
                  <w:right w:w="99" w:type="dxa"/>
                </w:tblCellMar>
              </w:tblPrEx>
              <w:trPr>
                <w:gridAfter w:val="1"/>
                <w:wAfter w:w="13" w:type="dxa"/>
                <w:cantSplit/>
                <w:trHeight w:val="288" w:hRule="atLeast"/>
                <w:jc w:val="center"/>
              </w:trPr>
              <w:tc>
                <w:tcPr>
                  <w:tcW w:w="5010" w:type="dxa"/>
                  <w:gridSpan w:val="4"/>
                  <w:vAlign w:val="center"/>
                </w:tcPr>
                <w:p>
                  <w:pPr>
                    <w:autoSpaceDN w:val="0"/>
                    <w:adjustRightInd w:val="0"/>
                    <w:snapToGrid w:val="0"/>
                    <w:jc w:val="center"/>
                    <w:rPr>
                      <w:color w:val="auto"/>
                      <w:szCs w:val="21"/>
                    </w:rPr>
                  </w:pPr>
                  <w:r>
                    <w:rPr>
                      <w:rFonts w:hint="eastAsia"/>
                      <w:color w:val="auto"/>
                      <w:szCs w:val="21"/>
                    </w:rPr>
                    <w:t>去除率</w:t>
                  </w:r>
                </w:p>
              </w:tc>
              <w:tc>
                <w:tcPr>
                  <w:tcW w:w="865" w:type="dxa"/>
                  <w:vAlign w:val="center"/>
                </w:tcPr>
                <w:p>
                  <w:pPr>
                    <w:autoSpaceDN w:val="0"/>
                    <w:adjustRightInd w:val="0"/>
                    <w:snapToGrid w:val="0"/>
                    <w:jc w:val="center"/>
                    <w:rPr>
                      <w:color w:val="auto"/>
                      <w:szCs w:val="21"/>
                    </w:rPr>
                  </w:pPr>
                  <w:r>
                    <w:rPr>
                      <w:color w:val="auto"/>
                      <w:szCs w:val="21"/>
                    </w:rPr>
                    <w:t>6</w:t>
                  </w:r>
                  <w:r>
                    <w:rPr>
                      <w:rFonts w:hint="eastAsia"/>
                      <w:color w:val="auto"/>
                      <w:szCs w:val="21"/>
                    </w:rPr>
                    <w:t>0</w:t>
                  </w:r>
                  <w:r>
                    <w:rPr>
                      <w:color w:val="auto"/>
                      <w:szCs w:val="21"/>
                    </w:rPr>
                    <w:t>%</w:t>
                  </w:r>
                </w:p>
              </w:tc>
              <w:tc>
                <w:tcPr>
                  <w:tcW w:w="853" w:type="dxa"/>
                  <w:vAlign w:val="center"/>
                </w:tcPr>
                <w:p>
                  <w:pPr>
                    <w:autoSpaceDN w:val="0"/>
                    <w:adjustRightInd w:val="0"/>
                    <w:snapToGrid w:val="0"/>
                    <w:jc w:val="center"/>
                    <w:rPr>
                      <w:color w:val="auto"/>
                      <w:szCs w:val="21"/>
                    </w:rPr>
                  </w:pPr>
                  <w:r>
                    <w:rPr>
                      <w:rFonts w:hint="eastAsia"/>
                      <w:color w:val="auto"/>
                      <w:szCs w:val="21"/>
                    </w:rPr>
                    <w:t>50</w:t>
                  </w:r>
                  <w:r>
                    <w:rPr>
                      <w:color w:val="auto"/>
                      <w:szCs w:val="21"/>
                    </w:rPr>
                    <w:t>%</w:t>
                  </w:r>
                </w:p>
              </w:tc>
              <w:tc>
                <w:tcPr>
                  <w:tcW w:w="863" w:type="dxa"/>
                  <w:vAlign w:val="center"/>
                </w:tcPr>
                <w:p>
                  <w:pPr>
                    <w:autoSpaceDN w:val="0"/>
                    <w:adjustRightInd w:val="0"/>
                    <w:snapToGrid w:val="0"/>
                    <w:jc w:val="center"/>
                    <w:rPr>
                      <w:color w:val="auto"/>
                      <w:szCs w:val="21"/>
                    </w:rPr>
                  </w:pPr>
                  <w:r>
                    <w:rPr>
                      <w:rFonts w:hint="eastAsia"/>
                      <w:color w:val="auto"/>
                      <w:szCs w:val="21"/>
                    </w:rPr>
                    <w:t>20</w:t>
                  </w:r>
                  <w:r>
                    <w:rPr>
                      <w:color w:val="auto"/>
                      <w:szCs w:val="21"/>
                    </w:rPr>
                    <w:t>%</w:t>
                  </w:r>
                </w:p>
              </w:tc>
              <w:tc>
                <w:tcPr>
                  <w:tcW w:w="877" w:type="dxa"/>
                  <w:gridSpan w:val="2"/>
                </w:tcPr>
                <w:p>
                  <w:pPr>
                    <w:autoSpaceDN w:val="0"/>
                    <w:adjustRightInd w:val="0"/>
                    <w:snapToGrid w:val="0"/>
                    <w:jc w:val="center"/>
                    <w:rPr>
                      <w:color w:val="auto"/>
                      <w:szCs w:val="21"/>
                    </w:rPr>
                  </w:pPr>
                  <w:r>
                    <w:rPr>
                      <w:rFonts w:hint="eastAsia"/>
                      <w:color w:val="auto"/>
                      <w:szCs w:val="21"/>
                    </w:rPr>
                    <w:t>20</w:t>
                  </w:r>
                  <w:r>
                    <w:rPr>
                      <w:color w:val="auto"/>
                      <w:szCs w:val="21"/>
                    </w:rPr>
                    <w:t>%</w:t>
                  </w:r>
                </w:p>
              </w:tc>
            </w:tr>
          </w:tbl>
          <w:p>
            <w:pPr>
              <w:pStyle w:val="2"/>
              <w:rPr>
                <w:color w:val="auto"/>
              </w:rPr>
            </w:pPr>
          </w:p>
          <w:p>
            <w:pPr>
              <w:spacing w:line="460" w:lineRule="exact"/>
              <w:ind w:left="420" w:leftChars="200"/>
              <w:rPr>
                <w:b/>
                <w:bCs/>
                <w:color w:val="auto"/>
                <w:sz w:val="24"/>
              </w:rPr>
            </w:pPr>
            <w:r>
              <w:rPr>
                <w:b/>
                <w:bCs/>
                <w:color w:val="auto"/>
                <w:sz w:val="24"/>
              </w:rPr>
              <w:t>2、水污染源</w:t>
            </w:r>
          </w:p>
          <w:p>
            <w:pPr>
              <w:spacing w:line="460" w:lineRule="exact"/>
              <w:ind w:firstLine="312" w:firstLineChars="130"/>
              <w:rPr>
                <w:color w:val="auto"/>
                <w:sz w:val="24"/>
              </w:rPr>
            </w:pPr>
            <w:r>
              <w:rPr>
                <w:color w:val="auto"/>
                <w:sz w:val="24"/>
              </w:rPr>
              <w:t>（1）员工生活污水</w:t>
            </w:r>
          </w:p>
          <w:p>
            <w:pPr>
              <w:spacing w:line="460" w:lineRule="exact"/>
              <w:ind w:firstLine="480" w:firstLineChars="200"/>
              <w:rPr>
                <w:bCs/>
                <w:color w:val="auto"/>
                <w:spacing w:val="10"/>
                <w:sz w:val="24"/>
              </w:rPr>
            </w:pPr>
            <w:r>
              <w:rPr>
                <w:color w:val="auto"/>
                <w:sz w:val="24"/>
              </w:rPr>
              <w:t>员工生活污水</w:t>
            </w:r>
            <w:r>
              <w:rPr>
                <w:bCs/>
                <w:color w:val="auto"/>
                <w:sz w:val="24"/>
              </w:rPr>
              <w:t>：</w:t>
            </w:r>
            <w:r>
              <w:rPr>
                <w:color w:val="auto"/>
                <w:sz w:val="24"/>
              </w:rPr>
              <w:t>项目</w:t>
            </w:r>
            <w:r>
              <w:rPr>
                <w:rFonts w:hint="eastAsia"/>
                <w:color w:val="auto"/>
                <w:sz w:val="24"/>
              </w:rPr>
              <w:t>员工</w:t>
            </w:r>
            <w:r>
              <w:rPr>
                <w:color w:val="auto"/>
                <w:sz w:val="24"/>
              </w:rPr>
              <w:t>总</w:t>
            </w:r>
            <w:r>
              <w:rPr>
                <w:rFonts w:hint="eastAsia"/>
                <w:color w:val="auto"/>
                <w:sz w:val="24"/>
              </w:rPr>
              <w:t>人</w:t>
            </w:r>
            <w:r>
              <w:rPr>
                <w:color w:val="auto"/>
                <w:sz w:val="24"/>
              </w:rPr>
              <w:t>数</w:t>
            </w:r>
            <w:r>
              <w:rPr>
                <w:rFonts w:hint="eastAsia"/>
                <w:color w:val="auto"/>
                <w:sz w:val="24"/>
              </w:rPr>
              <w:t>42人</w:t>
            </w:r>
            <w:r>
              <w:rPr>
                <w:color w:val="auto"/>
                <w:sz w:val="24"/>
              </w:rPr>
              <w:t>，</w:t>
            </w:r>
            <w:r>
              <w:rPr>
                <w:rFonts w:hint="eastAsia"/>
                <w:color w:val="auto"/>
                <w:sz w:val="24"/>
              </w:rPr>
              <w:t>均不</w:t>
            </w:r>
            <w:r>
              <w:rPr>
                <w:color w:val="auto"/>
                <w:sz w:val="24"/>
              </w:rPr>
              <w:t>在厂内食宿</w:t>
            </w:r>
            <w:r>
              <w:rPr>
                <w:rFonts w:hint="eastAsia"/>
                <w:color w:val="auto"/>
                <w:sz w:val="24"/>
              </w:rPr>
              <w:t>。</w:t>
            </w:r>
            <w:r>
              <w:rPr>
                <w:color w:val="auto"/>
                <w:spacing w:val="-2"/>
                <w:sz w:val="24"/>
              </w:rPr>
              <w:t>根据DB44/T 1461-2014《广东省用水定额标准》，</w:t>
            </w:r>
            <w:r>
              <w:rPr>
                <w:rFonts w:hint="eastAsia"/>
                <w:color w:val="auto"/>
                <w:spacing w:val="-2"/>
                <w:sz w:val="24"/>
              </w:rPr>
              <w:t>不食</w:t>
            </w:r>
            <w:r>
              <w:rPr>
                <w:color w:val="auto"/>
                <w:spacing w:val="-2"/>
                <w:sz w:val="24"/>
              </w:rPr>
              <w:t>宿人员按每人每日40L来计</w:t>
            </w:r>
            <w:r>
              <w:rPr>
                <w:rFonts w:hint="eastAsia"/>
                <w:color w:val="auto"/>
                <w:spacing w:val="-2"/>
                <w:sz w:val="24"/>
              </w:rPr>
              <w:t>，</w:t>
            </w:r>
            <w:r>
              <w:rPr>
                <w:color w:val="auto"/>
                <w:spacing w:val="-2"/>
                <w:sz w:val="24"/>
              </w:rPr>
              <w:t>则项目日用水量（40×42）/1000=1.68m³，</w:t>
            </w:r>
            <w:r>
              <w:rPr>
                <w:rFonts w:hint="eastAsia"/>
                <w:color w:val="auto"/>
                <w:spacing w:val="-2"/>
                <w:sz w:val="24"/>
              </w:rPr>
              <w:t>项目</w:t>
            </w:r>
            <w:r>
              <w:rPr>
                <w:color w:val="auto"/>
                <w:spacing w:val="-2"/>
                <w:sz w:val="24"/>
              </w:rPr>
              <w:t>年工作天数按330天/年计，则年用水量为554.4m³，</w:t>
            </w:r>
            <w:r>
              <w:rPr>
                <w:color w:val="auto"/>
                <w:sz w:val="24"/>
              </w:rPr>
              <w:t>排水量按用水量的90%计算，产生生活污水</w:t>
            </w:r>
            <w:r>
              <w:rPr>
                <w:color w:val="auto"/>
                <w:sz w:val="24"/>
                <w:szCs w:val="28"/>
              </w:rPr>
              <w:t>量499m</w:t>
            </w:r>
            <w:r>
              <w:rPr>
                <w:color w:val="auto"/>
                <w:sz w:val="24"/>
                <w:szCs w:val="28"/>
                <w:vertAlign w:val="superscript"/>
              </w:rPr>
              <w:t>3</w:t>
            </w:r>
            <w:r>
              <w:rPr>
                <w:color w:val="auto"/>
                <w:sz w:val="24"/>
                <w:szCs w:val="28"/>
              </w:rPr>
              <w:t>/a。</w:t>
            </w:r>
            <w:r>
              <w:rPr>
                <w:color w:val="auto"/>
                <w:sz w:val="24"/>
              </w:rPr>
              <w:t>生活污水中主要污染因子为COD</w:t>
            </w:r>
            <w:r>
              <w:rPr>
                <w:color w:val="auto"/>
                <w:sz w:val="24"/>
                <w:vertAlign w:val="subscript"/>
              </w:rPr>
              <w:t>Cr</w:t>
            </w:r>
            <w:r>
              <w:rPr>
                <w:color w:val="auto"/>
                <w:sz w:val="24"/>
              </w:rPr>
              <w:t>、BOD</w:t>
            </w:r>
            <w:r>
              <w:rPr>
                <w:color w:val="auto"/>
                <w:sz w:val="24"/>
                <w:vertAlign w:val="subscript"/>
              </w:rPr>
              <w:t>5</w:t>
            </w:r>
            <w:r>
              <w:rPr>
                <w:color w:val="auto"/>
                <w:sz w:val="24"/>
              </w:rPr>
              <w:t>、SS、氨氮和动植物油</w:t>
            </w:r>
            <w:r>
              <w:rPr>
                <w:bCs/>
                <w:color w:val="auto"/>
                <w:spacing w:val="10"/>
                <w:sz w:val="24"/>
              </w:rPr>
              <w:t>。</w:t>
            </w:r>
          </w:p>
          <w:p>
            <w:pPr>
              <w:spacing w:line="460" w:lineRule="exact"/>
              <w:ind w:firstLine="520" w:firstLineChars="200"/>
              <w:rPr>
                <w:rFonts w:hint="eastAsia"/>
                <w:color w:val="auto"/>
                <w:sz w:val="24"/>
              </w:rPr>
            </w:pPr>
            <w:r>
              <w:rPr>
                <w:bCs/>
                <w:color w:val="auto"/>
                <w:spacing w:val="10"/>
                <w:sz w:val="24"/>
              </w:rPr>
              <w:t>本项目产生的生活污水</w:t>
            </w:r>
            <w:r>
              <w:rPr>
                <w:rFonts w:hint="eastAsia"/>
                <w:bCs/>
                <w:color w:val="auto"/>
                <w:spacing w:val="10"/>
                <w:sz w:val="24"/>
              </w:rPr>
              <w:t>经</w:t>
            </w:r>
            <w:r>
              <w:rPr>
                <w:rFonts w:hint="eastAsia"/>
                <w:color w:val="auto"/>
                <w:sz w:val="24"/>
              </w:rPr>
              <w:t>地埋式一</w:t>
            </w:r>
            <w:r>
              <w:rPr>
                <w:color w:val="auto"/>
                <w:sz w:val="24"/>
              </w:rPr>
              <w:t>体化</w:t>
            </w:r>
            <w:r>
              <w:rPr>
                <w:rFonts w:hint="eastAsia"/>
                <w:color w:val="auto"/>
                <w:sz w:val="24"/>
              </w:rPr>
              <w:t>污水</w:t>
            </w:r>
            <w:r>
              <w:rPr>
                <w:color w:val="auto"/>
                <w:sz w:val="24"/>
              </w:rPr>
              <w:t>处理设施</w:t>
            </w:r>
            <w:r>
              <w:rPr>
                <w:rFonts w:hint="eastAsia"/>
                <w:color w:val="auto"/>
                <w:sz w:val="24"/>
              </w:rPr>
              <w:t>（处理</w:t>
            </w:r>
            <w:r>
              <w:rPr>
                <w:color w:val="auto"/>
                <w:sz w:val="24"/>
              </w:rPr>
              <w:t>能力为</w:t>
            </w:r>
            <w:r>
              <w:rPr>
                <w:rFonts w:hint="eastAsia"/>
                <w:color w:val="auto"/>
                <w:sz w:val="24"/>
              </w:rPr>
              <w:t>5</w:t>
            </w:r>
            <w:r>
              <w:rPr>
                <w:color w:val="auto"/>
                <w:sz w:val="24"/>
                <w:szCs w:val="28"/>
              </w:rPr>
              <w:t xml:space="preserve"> m</w:t>
            </w:r>
            <w:r>
              <w:rPr>
                <w:color w:val="auto"/>
                <w:sz w:val="24"/>
                <w:szCs w:val="28"/>
                <w:vertAlign w:val="superscript"/>
              </w:rPr>
              <w:t>3</w:t>
            </w:r>
            <w:r>
              <w:rPr>
                <w:color w:val="auto"/>
                <w:sz w:val="24"/>
                <w:szCs w:val="28"/>
              </w:rPr>
              <w:t>/d</w:t>
            </w:r>
            <w:r>
              <w:rPr>
                <w:rFonts w:hint="eastAsia"/>
                <w:color w:val="auto"/>
                <w:sz w:val="24"/>
              </w:rPr>
              <w:t>）</w:t>
            </w:r>
            <w:r>
              <w:rPr>
                <w:color w:val="auto"/>
                <w:sz w:val="24"/>
              </w:rPr>
              <w:t>处理后达</w:t>
            </w:r>
            <w:r>
              <w:rPr>
                <w:color w:val="auto"/>
                <w:spacing w:val="-2"/>
                <w:sz w:val="24"/>
              </w:rPr>
              <w:t>到</w:t>
            </w:r>
            <w:r>
              <w:rPr>
                <w:rFonts w:hint="eastAsia"/>
                <w:color w:val="auto"/>
                <w:spacing w:val="-2"/>
                <w:sz w:val="24"/>
              </w:rPr>
              <w:t>《城市污水再生利用</w:t>
            </w:r>
            <w:r>
              <w:rPr>
                <w:color w:val="auto"/>
                <w:spacing w:val="-2"/>
                <w:sz w:val="24"/>
              </w:rPr>
              <w:t> </w:t>
            </w:r>
            <w:r>
              <w:rPr>
                <w:rFonts w:hint="eastAsia"/>
                <w:color w:val="auto"/>
                <w:spacing w:val="-2"/>
                <w:sz w:val="24"/>
              </w:rPr>
              <w:t>城市杂用水水质》（</w:t>
            </w:r>
            <w:r>
              <w:rPr>
                <w:color w:val="auto"/>
                <w:spacing w:val="-2"/>
                <w:sz w:val="24"/>
              </w:rPr>
              <w:t>GB/T18920-2002</w:t>
            </w:r>
            <w:r>
              <w:rPr>
                <w:rFonts w:hint="eastAsia"/>
                <w:color w:val="auto"/>
                <w:spacing w:val="-2"/>
                <w:sz w:val="24"/>
              </w:rPr>
              <w:t>）中绿化用水标准后</w:t>
            </w:r>
            <w:r>
              <w:rPr>
                <w:rFonts w:hint="eastAsia"/>
                <w:color w:val="auto"/>
                <w:sz w:val="24"/>
              </w:rPr>
              <w:t>回用于厂区绿化灌溉，</w:t>
            </w:r>
            <w:r>
              <w:rPr>
                <w:color w:val="auto"/>
                <w:sz w:val="24"/>
              </w:rPr>
              <w:t>不外排。</w:t>
            </w:r>
            <w:r>
              <w:rPr>
                <w:rFonts w:hint="eastAsia"/>
                <w:color w:val="auto"/>
                <w:sz w:val="24"/>
              </w:rPr>
              <w:t>项目</w:t>
            </w:r>
            <w:r>
              <w:rPr>
                <w:color w:val="auto"/>
                <w:sz w:val="24"/>
              </w:rPr>
              <w:t>拟设一个</w:t>
            </w:r>
            <w:r>
              <w:rPr>
                <w:rFonts w:hint="eastAsia"/>
                <w:color w:val="auto"/>
                <w:sz w:val="24"/>
              </w:rPr>
              <w:t>容积</w:t>
            </w:r>
            <w:r>
              <w:rPr>
                <w:color w:val="auto"/>
                <w:sz w:val="24"/>
              </w:rPr>
              <w:t>约</w:t>
            </w:r>
            <w:r>
              <w:rPr>
                <w:rFonts w:hint="eastAsia"/>
                <w:color w:val="auto"/>
                <w:sz w:val="24"/>
              </w:rPr>
              <w:t>5</w:t>
            </w:r>
            <w:r>
              <w:rPr>
                <w:color w:val="auto"/>
                <w:sz w:val="24"/>
              </w:rPr>
              <w:t>m</w:t>
            </w:r>
            <w:r>
              <w:rPr>
                <w:color w:val="auto"/>
                <w:sz w:val="24"/>
                <w:vertAlign w:val="superscript"/>
              </w:rPr>
              <w:t>3</w:t>
            </w:r>
            <w:r>
              <w:rPr>
                <w:rFonts w:hint="eastAsia"/>
                <w:color w:val="auto"/>
                <w:sz w:val="24"/>
              </w:rPr>
              <w:t>的</w:t>
            </w:r>
            <w:r>
              <w:rPr>
                <w:color w:val="auto"/>
                <w:sz w:val="24"/>
              </w:rPr>
              <w:t>生活污水暂存池，</w:t>
            </w:r>
            <w:r>
              <w:rPr>
                <w:rFonts w:hint="eastAsia"/>
                <w:color w:val="auto"/>
                <w:sz w:val="24"/>
              </w:rPr>
              <w:t>当雨</w:t>
            </w:r>
            <w:r>
              <w:rPr>
                <w:color w:val="auto"/>
                <w:sz w:val="24"/>
              </w:rPr>
              <w:t>天不需要</w:t>
            </w:r>
            <w:r>
              <w:rPr>
                <w:rFonts w:hint="eastAsia"/>
                <w:color w:val="auto"/>
                <w:sz w:val="24"/>
              </w:rPr>
              <w:t>绿化灌溉时生活</w:t>
            </w:r>
            <w:r>
              <w:rPr>
                <w:color w:val="auto"/>
                <w:sz w:val="24"/>
              </w:rPr>
              <w:t>污水可暂存于暂存池</w:t>
            </w:r>
            <w:r>
              <w:rPr>
                <w:rFonts w:hint="eastAsia"/>
                <w:color w:val="auto"/>
                <w:sz w:val="24"/>
              </w:rPr>
              <w:t>，</w:t>
            </w:r>
            <w:r>
              <w:rPr>
                <w:color w:val="auto"/>
                <w:sz w:val="24"/>
              </w:rPr>
              <w:t>暂存池</w:t>
            </w:r>
            <w:r>
              <w:rPr>
                <w:rFonts w:hint="eastAsia"/>
                <w:color w:val="auto"/>
                <w:sz w:val="24"/>
              </w:rPr>
              <w:t>足够</w:t>
            </w:r>
            <w:r>
              <w:rPr>
                <w:color w:val="auto"/>
                <w:sz w:val="24"/>
              </w:rPr>
              <w:t>容纳</w:t>
            </w:r>
            <w:r>
              <w:rPr>
                <w:rFonts w:hint="eastAsia"/>
                <w:color w:val="auto"/>
                <w:sz w:val="24"/>
              </w:rPr>
              <w:t>3天</w:t>
            </w:r>
            <w:r>
              <w:rPr>
                <w:color w:val="auto"/>
                <w:sz w:val="24"/>
              </w:rPr>
              <w:t>的生活污水。</w:t>
            </w:r>
          </w:p>
          <w:p>
            <w:pPr>
              <w:spacing w:line="460" w:lineRule="exact"/>
              <w:ind w:firstLine="480" w:firstLineChars="200"/>
              <w:rPr>
                <w:color w:val="auto"/>
                <w:sz w:val="24"/>
              </w:rPr>
            </w:pPr>
            <w:r>
              <w:rPr>
                <w:rFonts w:hint="eastAsia"/>
                <w:color w:val="auto"/>
                <w:sz w:val="24"/>
              </w:rPr>
              <w:t>项目绿化面积约</w:t>
            </w:r>
            <w:r>
              <w:rPr>
                <w:color w:val="auto"/>
                <w:sz w:val="24"/>
              </w:rPr>
              <w:t>1500</w:t>
            </w:r>
            <w:r>
              <w:rPr>
                <w:rFonts w:hint="eastAsia"/>
                <w:color w:val="auto"/>
                <w:sz w:val="24"/>
              </w:rPr>
              <w:t>平方米，约为</w:t>
            </w:r>
            <w:r>
              <w:rPr>
                <w:color w:val="auto"/>
                <w:sz w:val="24"/>
              </w:rPr>
              <w:t>2.25</w:t>
            </w:r>
            <w:r>
              <w:rPr>
                <w:rFonts w:hint="eastAsia"/>
                <w:color w:val="auto"/>
                <w:sz w:val="24"/>
              </w:rPr>
              <w:t>亩，根据《广东省用水定额》（DB44/T1461-2014）中表10 叶草、花卉灌溉用水定额为420m</w:t>
            </w:r>
            <w:r>
              <w:rPr>
                <w:rFonts w:hint="eastAsia"/>
                <w:color w:val="auto"/>
                <w:sz w:val="24"/>
                <w:vertAlign w:val="superscript"/>
              </w:rPr>
              <w:t>3</w:t>
            </w:r>
            <w:r>
              <w:rPr>
                <w:rFonts w:hint="eastAsia"/>
                <w:color w:val="auto"/>
                <w:sz w:val="24"/>
              </w:rPr>
              <w:t>/亩.年，则项目绿化需水量约为</w:t>
            </w:r>
            <w:r>
              <w:rPr>
                <w:color w:val="auto"/>
                <w:sz w:val="24"/>
              </w:rPr>
              <w:t>945</w:t>
            </w:r>
            <w:r>
              <w:rPr>
                <w:rFonts w:hint="eastAsia"/>
                <w:color w:val="auto"/>
                <w:sz w:val="24"/>
              </w:rPr>
              <w:t xml:space="preserve"> m</w:t>
            </w:r>
            <w:r>
              <w:rPr>
                <w:rFonts w:hint="eastAsia"/>
                <w:color w:val="auto"/>
                <w:sz w:val="24"/>
                <w:vertAlign w:val="superscript"/>
              </w:rPr>
              <w:t>3</w:t>
            </w:r>
            <w:r>
              <w:rPr>
                <w:rFonts w:hint="eastAsia"/>
                <w:color w:val="auto"/>
                <w:sz w:val="24"/>
              </w:rPr>
              <w:t>，高于项目生活污水产生量（</w:t>
            </w:r>
            <w:r>
              <w:rPr>
                <w:color w:val="auto"/>
                <w:sz w:val="24"/>
              </w:rPr>
              <w:t>499</w:t>
            </w:r>
            <w:r>
              <w:rPr>
                <w:rFonts w:hint="eastAsia"/>
                <w:color w:val="auto"/>
                <w:sz w:val="24"/>
              </w:rPr>
              <w:t>t/a）。因此</w:t>
            </w:r>
            <w:r>
              <w:rPr>
                <w:color w:val="auto"/>
                <w:sz w:val="24"/>
              </w:rPr>
              <w:t>本项目生活污水经</w:t>
            </w:r>
            <w:r>
              <w:rPr>
                <w:rFonts w:hint="eastAsia"/>
                <w:color w:val="auto"/>
                <w:sz w:val="24"/>
              </w:rPr>
              <w:t>地埋式一</w:t>
            </w:r>
            <w:r>
              <w:rPr>
                <w:color w:val="auto"/>
                <w:sz w:val="24"/>
              </w:rPr>
              <w:t>体化</w:t>
            </w:r>
            <w:r>
              <w:rPr>
                <w:rFonts w:hint="eastAsia"/>
                <w:color w:val="auto"/>
                <w:sz w:val="24"/>
              </w:rPr>
              <w:t>污水</w:t>
            </w:r>
            <w:r>
              <w:rPr>
                <w:color w:val="auto"/>
                <w:sz w:val="24"/>
              </w:rPr>
              <w:t>处理设施处理后</w:t>
            </w:r>
            <w:r>
              <w:rPr>
                <w:rFonts w:hint="eastAsia"/>
                <w:color w:val="auto"/>
                <w:sz w:val="24"/>
              </w:rPr>
              <w:t>回用于厂内绿化是可行的。</w:t>
            </w:r>
          </w:p>
          <w:p>
            <w:pPr>
              <w:spacing w:line="460" w:lineRule="exact"/>
              <w:ind w:firstLine="480" w:firstLineChars="200"/>
              <w:rPr>
                <w:color w:val="auto"/>
                <w:sz w:val="24"/>
              </w:rPr>
            </w:pPr>
            <w:r>
              <w:rPr>
                <w:rFonts w:hint="eastAsia"/>
                <w:color w:val="auto"/>
                <w:sz w:val="24"/>
              </w:rPr>
              <w:t>（2）</w:t>
            </w:r>
            <w:r>
              <w:rPr>
                <w:color w:val="auto"/>
                <w:sz w:val="24"/>
              </w:rPr>
              <w:t>生产废水</w:t>
            </w:r>
          </w:p>
          <w:p>
            <w:pPr>
              <w:spacing w:line="460" w:lineRule="exact"/>
              <w:ind w:firstLine="480" w:firstLineChars="200"/>
              <w:rPr>
                <w:color w:val="auto"/>
                <w:spacing w:val="-2"/>
                <w:sz w:val="24"/>
              </w:rPr>
            </w:pPr>
            <w:r>
              <w:rPr>
                <w:rFonts w:hint="eastAsia"/>
                <w:color w:val="auto"/>
                <w:sz w:val="24"/>
              </w:rPr>
              <w:t>1.</w:t>
            </w:r>
            <w:r>
              <w:rPr>
                <w:rFonts w:hint="eastAsia"/>
                <w:color w:val="auto"/>
                <w:spacing w:val="-2"/>
                <w:sz w:val="24"/>
              </w:rPr>
              <w:t>机</w:t>
            </w:r>
            <w:r>
              <w:rPr>
                <w:color w:val="auto"/>
                <w:spacing w:val="-2"/>
                <w:sz w:val="24"/>
              </w:rPr>
              <w:t>制砂</w:t>
            </w:r>
            <w:r>
              <w:rPr>
                <w:rFonts w:hint="eastAsia"/>
                <w:color w:val="auto"/>
                <w:spacing w:val="-2"/>
                <w:sz w:val="24"/>
              </w:rPr>
              <w:t>生</w:t>
            </w:r>
            <w:r>
              <w:rPr>
                <w:color w:val="auto"/>
                <w:spacing w:val="-2"/>
                <w:sz w:val="24"/>
              </w:rPr>
              <w:t>产线</w:t>
            </w:r>
          </w:p>
          <w:p>
            <w:pPr>
              <w:spacing w:line="460" w:lineRule="exact"/>
              <w:ind w:firstLine="472" w:firstLineChars="200"/>
              <w:rPr>
                <w:color w:val="auto"/>
                <w:spacing w:val="-2"/>
                <w:sz w:val="24"/>
              </w:rPr>
            </w:pPr>
            <w:r>
              <w:rPr>
                <w:rFonts w:hint="eastAsia"/>
                <w:color w:val="auto"/>
                <w:spacing w:val="-2"/>
                <w:sz w:val="24"/>
              </w:rPr>
              <w:t>项目制砂生产线加湿器主要目的用于解决成品砂在堆料及运输过程产生扬尘及离析问题，成品砂含水率约3%，因此加湿水量约</w:t>
            </w:r>
            <w:r>
              <w:rPr>
                <w:color w:val="auto"/>
                <w:spacing w:val="-2"/>
                <w:sz w:val="24"/>
              </w:rPr>
              <w:t>1500</w:t>
            </w:r>
            <w:r>
              <w:rPr>
                <w:rFonts w:hint="eastAsia"/>
                <w:color w:val="auto"/>
                <w:spacing w:val="-2"/>
                <w:sz w:val="24"/>
              </w:rPr>
              <w:t>t/a，该水最终全部自然蒸发，无溢出流出现象。</w:t>
            </w:r>
          </w:p>
          <w:p>
            <w:pPr>
              <w:spacing w:line="460" w:lineRule="exact"/>
              <w:ind w:firstLine="472" w:firstLineChars="200"/>
              <w:rPr>
                <w:color w:val="auto"/>
                <w:spacing w:val="-2"/>
                <w:sz w:val="24"/>
              </w:rPr>
            </w:pPr>
            <w:r>
              <w:rPr>
                <w:rFonts w:hint="eastAsia"/>
                <w:color w:val="auto"/>
                <w:spacing w:val="-2"/>
                <w:sz w:val="24"/>
              </w:rPr>
              <w:t>2混</w:t>
            </w:r>
            <w:r>
              <w:rPr>
                <w:color w:val="auto"/>
                <w:spacing w:val="-2"/>
                <w:sz w:val="24"/>
              </w:rPr>
              <w:t>凝土生产线</w:t>
            </w:r>
          </w:p>
          <w:p>
            <w:pPr>
              <w:spacing w:line="460" w:lineRule="exact"/>
              <w:ind w:firstLine="472" w:firstLineChars="200"/>
              <w:rPr>
                <w:color w:val="auto"/>
                <w:sz w:val="24"/>
              </w:rPr>
            </w:pPr>
            <w:r>
              <w:rPr>
                <w:color w:val="auto"/>
                <w:spacing w:val="-2"/>
                <w:sz w:val="24"/>
              </w:rPr>
              <w:t>项目混凝土搅拌生产线在生产过程中需要水作为添加剂，按照混凝土不同规格进行配比，根据配合比拌和混凝土，根据建设方介绍，搅拌年用水量为35000 t/a，生产用水全部进入产品。因此，本项目产生的生产废水主</w:t>
            </w:r>
            <w:r>
              <w:rPr>
                <w:color w:val="auto"/>
                <w:sz w:val="24"/>
              </w:rPr>
              <w:t>要为混凝土生产线产生的搅拌机清洗废水、车辆清洗废水、地面冲洗废水及砂石分离机产生的泥浆水。</w:t>
            </w:r>
          </w:p>
          <w:p>
            <w:pPr>
              <w:spacing w:line="460" w:lineRule="exact"/>
              <w:ind w:firstLine="480" w:firstLineChars="200"/>
              <w:rPr>
                <w:bCs/>
                <w:color w:val="auto"/>
                <w:sz w:val="24"/>
              </w:rPr>
            </w:pPr>
            <w:r>
              <w:rPr>
                <w:color w:val="auto"/>
                <w:sz w:val="24"/>
              </w:rPr>
              <w:fldChar w:fldCharType="begin"/>
            </w:r>
            <w:r>
              <w:rPr>
                <w:rFonts w:hint="eastAsia"/>
                <w:color w:val="auto"/>
                <w:sz w:val="24"/>
              </w:rPr>
              <w:instrText xml:space="preserve">= 1 \* GB3</w:instrText>
            </w:r>
            <w:r>
              <w:rPr>
                <w:color w:val="auto"/>
                <w:sz w:val="24"/>
              </w:rPr>
              <w:fldChar w:fldCharType="separate"/>
            </w:r>
            <w:r>
              <w:rPr>
                <w:rFonts w:hint="eastAsia"/>
                <w:color w:val="auto"/>
                <w:sz w:val="24"/>
              </w:rPr>
              <w:t>①</w:t>
            </w:r>
            <w:r>
              <w:rPr>
                <w:color w:val="auto"/>
                <w:sz w:val="24"/>
              </w:rPr>
              <w:fldChar w:fldCharType="end"/>
            </w:r>
            <w:r>
              <w:rPr>
                <w:color w:val="auto"/>
                <w:sz w:val="24"/>
              </w:rPr>
              <w:t>搅拌机清洗废水：根据建设单位提供的资料，搅拌机每天需冲洗一次，每次用水量约2.2m</w:t>
            </w:r>
            <w:r>
              <w:rPr>
                <w:color w:val="auto"/>
                <w:sz w:val="24"/>
                <w:vertAlign w:val="superscript"/>
              </w:rPr>
              <w:t>3</w:t>
            </w:r>
            <w:r>
              <w:rPr>
                <w:color w:val="auto"/>
                <w:sz w:val="24"/>
              </w:rPr>
              <w:t>，项目共有搅拌机2台，即年用水量约为1452m</w:t>
            </w:r>
            <w:r>
              <w:rPr>
                <w:color w:val="auto"/>
                <w:sz w:val="24"/>
                <w:vertAlign w:val="superscript"/>
              </w:rPr>
              <w:t>3</w:t>
            </w:r>
            <w:r>
              <w:rPr>
                <w:color w:val="auto"/>
                <w:sz w:val="24"/>
              </w:rPr>
              <w:t>，废水产生量按用水量的90%计，用水量的10%蒸发损耗，即污水产生总量为1306.8m</w:t>
            </w:r>
            <w:r>
              <w:rPr>
                <w:color w:val="auto"/>
                <w:sz w:val="24"/>
                <w:vertAlign w:val="superscript"/>
              </w:rPr>
              <w:t>3</w:t>
            </w:r>
            <w:r>
              <w:rPr>
                <w:color w:val="auto"/>
                <w:sz w:val="24"/>
              </w:rPr>
              <w:t>/a，损耗量为145.2m</w:t>
            </w:r>
            <w:r>
              <w:rPr>
                <w:color w:val="auto"/>
                <w:sz w:val="24"/>
                <w:vertAlign w:val="superscript"/>
              </w:rPr>
              <w:t>3</w:t>
            </w:r>
            <w:r>
              <w:rPr>
                <w:color w:val="auto"/>
                <w:spacing w:val="-2"/>
                <w:sz w:val="24"/>
              </w:rPr>
              <w:t>/a。</w:t>
            </w:r>
          </w:p>
          <w:p>
            <w:pPr>
              <w:spacing w:line="500" w:lineRule="exact"/>
              <w:ind w:firstLine="472" w:firstLineChars="200"/>
              <w:rPr>
                <w:color w:val="auto"/>
                <w:spacing w:val="-2"/>
                <w:sz w:val="24"/>
              </w:rPr>
            </w:pPr>
            <w:r>
              <w:rPr>
                <w:color w:val="auto"/>
                <w:spacing w:val="-2"/>
                <w:sz w:val="24"/>
              </w:rPr>
              <w:fldChar w:fldCharType="begin"/>
            </w:r>
            <w:r>
              <w:rPr>
                <w:rFonts w:hint="eastAsia"/>
                <w:color w:val="auto"/>
                <w:spacing w:val="-2"/>
                <w:sz w:val="24"/>
              </w:rPr>
              <w:instrText xml:space="preserve">= 2 \* GB3</w:instrText>
            </w:r>
            <w:r>
              <w:rPr>
                <w:color w:val="auto"/>
                <w:spacing w:val="-2"/>
                <w:sz w:val="24"/>
              </w:rPr>
              <w:fldChar w:fldCharType="separate"/>
            </w:r>
            <w:r>
              <w:rPr>
                <w:rFonts w:hint="eastAsia"/>
                <w:color w:val="auto"/>
                <w:spacing w:val="-2"/>
                <w:sz w:val="24"/>
              </w:rPr>
              <w:t>②</w:t>
            </w:r>
            <w:r>
              <w:rPr>
                <w:color w:val="auto"/>
                <w:spacing w:val="-2"/>
                <w:sz w:val="24"/>
              </w:rPr>
              <w:fldChar w:fldCharType="end"/>
            </w:r>
            <w:r>
              <w:rPr>
                <w:color w:val="auto"/>
                <w:spacing w:val="-2"/>
                <w:sz w:val="24"/>
              </w:rPr>
              <w:t>运输车清洗废水：本项目搅拌运输车</w:t>
            </w:r>
            <w:r>
              <w:rPr>
                <w:rFonts w:hint="eastAsia"/>
                <w:color w:val="auto"/>
                <w:spacing w:val="-2"/>
                <w:sz w:val="24"/>
              </w:rPr>
              <w:t>出</w:t>
            </w:r>
            <w:r>
              <w:rPr>
                <w:color w:val="auto"/>
                <w:spacing w:val="-2"/>
                <w:sz w:val="24"/>
              </w:rPr>
              <w:t>车车次为</w:t>
            </w:r>
            <w:r>
              <w:rPr>
                <w:rFonts w:hint="eastAsia"/>
                <w:color w:val="auto"/>
                <w:spacing w:val="-2"/>
                <w:sz w:val="24"/>
              </w:rPr>
              <w:t>20次/天</w:t>
            </w:r>
            <w:r>
              <w:rPr>
                <w:color w:val="auto"/>
                <w:spacing w:val="-2"/>
                <w:sz w:val="24"/>
              </w:rPr>
              <w:t>，搅拌车从工地回站后需要用水清洗搅拌转筒内部，类比同类型企业，项目冲洗水量约0.5t/辆·次，则冲洗用水量约为10</w:t>
            </w:r>
            <w:r>
              <w:rPr>
                <w:color w:val="auto"/>
                <w:sz w:val="24"/>
              </w:rPr>
              <w:t>m</w:t>
            </w:r>
            <w:r>
              <w:rPr>
                <w:color w:val="auto"/>
                <w:sz w:val="24"/>
                <w:vertAlign w:val="superscript"/>
              </w:rPr>
              <w:t>3</w:t>
            </w:r>
            <w:r>
              <w:rPr>
                <w:color w:val="auto"/>
                <w:spacing w:val="-2"/>
                <w:sz w:val="24"/>
              </w:rPr>
              <w:t>/d，3300</w:t>
            </w:r>
            <w:r>
              <w:rPr>
                <w:color w:val="auto"/>
                <w:sz w:val="24"/>
              </w:rPr>
              <w:t>m</w:t>
            </w:r>
            <w:r>
              <w:rPr>
                <w:color w:val="auto"/>
                <w:sz w:val="24"/>
                <w:vertAlign w:val="superscript"/>
              </w:rPr>
              <w:t>3</w:t>
            </w:r>
            <w:r>
              <w:rPr>
                <w:color w:val="auto"/>
                <w:spacing w:val="-2"/>
                <w:sz w:val="24"/>
              </w:rPr>
              <w:t>/a，废水产生量按用水量的90%计，用水量的10%蒸发损耗，即污水产生总量为2970</w:t>
            </w:r>
            <w:r>
              <w:rPr>
                <w:color w:val="auto"/>
                <w:sz w:val="24"/>
              </w:rPr>
              <w:t>m</w:t>
            </w:r>
            <w:r>
              <w:rPr>
                <w:color w:val="auto"/>
                <w:sz w:val="24"/>
                <w:vertAlign w:val="superscript"/>
              </w:rPr>
              <w:t>3</w:t>
            </w:r>
            <w:r>
              <w:rPr>
                <w:color w:val="auto"/>
                <w:spacing w:val="-2"/>
                <w:sz w:val="24"/>
              </w:rPr>
              <w:t>/a，损耗量为330</w:t>
            </w:r>
            <w:r>
              <w:rPr>
                <w:color w:val="auto"/>
                <w:sz w:val="24"/>
              </w:rPr>
              <w:t>m</w:t>
            </w:r>
            <w:r>
              <w:rPr>
                <w:color w:val="auto"/>
                <w:sz w:val="24"/>
                <w:vertAlign w:val="superscript"/>
              </w:rPr>
              <w:t>3</w:t>
            </w:r>
            <w:r>
              <w:rPr>
                <w:color w:val="auto"/>
                <w:spacing w:val="-2"/>
                <w:sz w:val="24"/>
              </w:rPr>
              <w:t>/a。</w:t>
            </w:r>
          </w:p>
          <w:p>
            <w:pPr>
              <w:spacing w:line="460" w:lineRule="exact"/>
              <w:ind w:firstLine="472" w:firstLineChars="200"/>
              <w:rPr>
                <w:color w:val="auto"/>
                <w:spacing w:val="-2"/>
                <w:sz w:val="24"/>
              </w:rPr>
            </w:pPr>
            <w:bookmarkStart w:id="70" w:name="_Hlk535759474"/>
            <w:r>
              <w:rPr>
                <w:color w:val="auto"/>
                <w:spacing w:val="-2"/>
                <w:sz w:val="24"/>
              </w:rPr>
              <w:fldChar w:fldCharType="begin"/>
            </w:r>
            <w:r>
              <w:rPr>
                <w:rFonts w:hint="eastAsia"/>
                <w:color w:val="auto"/>
                <w:spacing w:val="-2"/>
                <w:sz w:val="24"/>
              </w:rPr>
              <w:instrText xml:space="preserve">= 3 \* GB3</w:instrText>
            </w:r>
            <w:r>
              <w:rPr>
                <w:color w:val="auto"/>
                <w:spacing w:val="-2"/>
                <w:sz w:val="24"/>
              </w:rPr>
              <w:fldChar w:fldCharType="separate"/>
            </w:r>
            <w:r>
              <w:rPr>
                <w:rFonts w:hint="eastAsia"/>
                <w:color w:val="auto"/>
                <w:spacing w:val="-2"/>
                <w:sz w:val="24"/>
              </w:rPr>
              <w:t>③</w:t>
            </w:r>
            <w:r>
              <w:rPr>
                <w:color w:val="auto"/>
                <w:spacing w:val="-2"/>
                <w:sz w:val="24"/>
              </w:rPr>
              <w:fldChar w:fldCharType="end"/>
            </w:r>
            <w:r>
              <w:rPr>
                <w:color w:val="auto"/>
                <w:spacing w:val="-2"/>
                <w:sz w:val="24"/>
              </w:rPr>
              <w:t>抑尘喷洒用水</w:t>
            </w:r>
            <w:bookmarkEnd w:id="70"/>
            <w:r>
              <w:rPr>
                <w:color w:val="auto"/>
                <w:spacing w:val="-2"/>
                <w:sz w:val="24"/>
              </w:rPr>
              <w:t>：项目作业区和沙、石装卸过程需每天进行喷洒抑尘，喷洒用水量约5m</w:t>
            </w:r>
            <w:r>
              <w:rPr>
                <w:color w:val="auto"/>
                <w:spacing w:val="-2"/>
                <w:sz w:val="24"/>
                <w:vertAlign w:val="superscript"/>
              </w:rPr>
              <w:t>3</w:t>
            </w:r>
            <w:r>
              <w:rPr>
                <w:color w:val="auto"/>
                <w:spacing w:val="-2"/>
                <w:sz w:val="24"/>
              </w:rPr>
              <w:t>/d，1500m</w:t>
            </w:r>
            <w:r>
              <w:rPr>
                <w:color w:val="auto"/>
                <w:spacing w:val="-2"/>
                <w:sz w:val="24"/>
                <w:vertAlign w:val="superscript"/>
              </w:rPr>
              <w:t>3</w:t>
            </w:r>
            <w:r>
              <w:rPr>
                <w:color w:val="auto"/>
                <w:spacing w:val="-2"/>
                <w:sz w:val="24"/>
              </w:rPr>
              <w:t xml:space="preserve"> /a。喷洒水全部经粉尘吸收及自然挥发后损耗，无废水产生。</w:t>
            </w:r>
          </w:p>
          <w:p>
            <w:pPr>
              <w:spacing w:line="460" w:lineRule="exact"/>
              <w:ind w:firstLine="472" w:firstLineChars="200"/>
              <w:rPr>
                <w:color w:val="auto"/>
                <w:spacing w:val="-2"/>
                <w:sz w:val="24"/>
              </w:rPr>
            </w:pPr>
            <w:r>
              <w:rPr>
                <w:color w:val="auto"/>
                <w:spacing w:val="-2"/>
                <w:sz w:val="24"/>
              </w:rPr>
              <w:fldChar w:fldCharType="begin"/>
            </w:r>
            <w:r>
              <w:rPr>
                <w:rFonts w:hint="eastAsia"/>
                <w:color w:val="auto"/>
                <w:spacing w:val="-2"/>
                <w:sz w:val="24"/>
              </w:rPr>
              <w:instrText xml:space="preserve">= 4 \* GB3</w:instrText>
            </w:r>
            <w:r>
              <w:rPr>
                <w:color w:val="auto"/>
                <w:spacing w:val="-2"/>
                <w:sz w:val="24"/>
              </w:rPr>
              <w:fldChar w:fldCharType="separate"/>
            </w:r>
            <w:r>
              <w:rPr>
                <w:rFonts w:hint="eastAsia"/>
                <w:color w:val="auto"/>
                <w:spacing w:val="-2"/>
                <w:sz w:val="24"/>
              </w:rPr>
              <w:t>④</w:t>
            </w:r>
            <w:r>
              <w:rPr>
                <w:color w:val="auto"/>
                <w:spacing w:val="-2"/>
                <w:sz w:val="24"/>
              </w:rPr>
              <w:fldChar w:fldCharType="end"/>
            </w:r>
            <w:r>
              <w:rPr>
                <w:color w:val="auto"/>
                <w:spacing w:val="-2"/>
                <w:sz w:val="24"/>
              </w:rPr>
              <w:t>地面冲洗废水：本项目生产区面积</w:t>
            </w:r>
            <w:r>
              <w:rPr>
                <w:rFonts w:hint="eastAsia"/>
                <w:color w:val="auto"/>
                <w:spacing w:val="-2"/>
                <w:sz w:val="24"/>
              </w:rPr>
              <w:t>约</w:t>
            </w:r>
            <w:r>
              <w:rPr>
                <w:color w:val="auto"/>
                <w:spacing w:val="-2"/>
                <w:sz w:val="24"/>
              </w:rPr>
              <w:t>1800m</w:t>
            </w:r>
            <w:r>
              <w:rPr>
                <w:color w:val="auto"/>
                <w:spacing w:val="-2"/>
                <w:sz w:val="24"/>
                <w:vertAlign w:val="superscript"/>
              </w:rPr>
              <w:t>2</w:t>
            </w:r>
            <w:r>
              <w:rPr>
                <w:color w:val="auto"/>
                <w:spacing w:val="-2"/>
                <w:sz w:val="24"/>
              </w:rPr>
              <w:t>，冲洗水量按0.5m</w:t>
            </w:r>
            <w:r>
              <w:rPr>
                <w:color w:val="auto"/>
                <w:spacing w:val="-2"/>
                <w:sz w:val="24"/>
                <w:vertAlign w:val="superscript"/>
              </w:rPr>
              <w:t>3</w:t>
            </w:r>
            <w:r>
              <w:rPr>
                <w:color w:val="auto"/>
                <w:spacing w:val="-2"/>
                <w:sz w:val="24"/>
              </w:rPr>
              <w:t>/100m</w:t>
            </w:r>
            <w:r>
              <w:rPr>
                <w:color w:val="auto"/>
                <w:spacing w:val="-2"/>
                <w:sz w:val="24"/>
                <w:vertAlign w:val="superscript"/>
              </w:rPr>
              <w:t>2</w:t>
            </w:r>
            <w:r>
              <w:rPr>
                <w:color w:val="auto"/>
                <w:spacing w:val="-2"/>
                <w:sz w:val="24"/>
              </w:rPr>
              <w:t>·d计，</w:t>
            </w:r>
            <w:r>
              <w:rPr>
                <w:rFonts w:hint="eastAsia"/>
                <w:color w:val="auto"/>
                <w:spacing w:val="-2"/>
                <w:sz w:val="24"/>
              </w:rPr>
              <w:t>大概</w:t>
            </w:r>
            <w:r>
              <w:rPr>
                <w:color w:val="auto"/>
                <w:spacing w:val="-2"/>
                <w:sz w:val="24"/>
              </w:rPr>
              <w:t>3</w:t>
            </w:r>
            <w:r>
              <w:rPr>
                <w:rFonts w:hint="eastAsia"/>
                <w:color w:val="auto"/>
                <w:spacing w:val="-2"/>
                <w:sz w:val="24"/>
              </w:rPr>
              <w:t>天</w:t>
            </w:r>
            <w:r>
              <w:rPr>
                <w:color w:val="auto"/>
                <w:spacing w:val="-2"/>
                <w:sz w:val="24"/>
              </w:rPr>
              <w:t>冲洗一次，则厂区地面冲洗用水量均为9m</w:t>
            </w:r>
            <w:r>
              <w:rPr>
                <w:color w:val="auto"/>
                <w:spacing w:val="-2"/>
                <w:sz w:val="24"/>
                <w:vertAlign w:val="superscript"/>
              </w:rPr>
              <w:t>3</w:t>
            </w:r>
            <w:r>
              <w:rPr>
                <w:color w:val="auto"/>
                <w:spacing w:val="-2"/>
                <w:sz w:val="24"/>
              </w:rPr>
              <w:t>/d，990 m</w:t>
            </w:r>
            <w:r>
              <w:rPr>
                <w:color w:val="auto"/>
                <w:spacing w:val="-2"/>
                <w:sz w:val="24"/>
                <w:vertAlign w:val="superscript"/>
              </w:rPr>
              <w:t>3</w:t>
            </w:r>
            <w:r>
              <w:rPr>
                <w:color w:val="auto"/>
                <w:spacing w:val="-2"/>
                <w:sz w:val="24"/>
              </w:rPr>
              <w:t>/a。废水排放系数按0.9计，则产生量为8.1m³/d，891m³/a。</w:t>
            </w:r>
          </w:p>
          <w:p>
            <w:pPr>
              <w:spacing w:line="460" w:lineRule="exact"/>
              <w:ind w:firstLine="472" w:firstLineChars="200"/>
              <w:rPr>
                <w:color w:val="auto"/>
                <w:spacing w:val="-2"/>
                <w:sz w:val="24"/>
              </w:rPr>
            </w:pPr>
            <w:r>
              <w:rPr>
                <w:color w:val="auto"/>
                <w:spacing w:val="-2"/>
                <w:sz w:val="24"/>
              </w:rPr>
              <w:fldChar w:fldCharType="begin"/>
            </w:r>
            <w:r>
              <w:rPr>
                <w:rFonts w:hint="eastAsia"/>
                <w:color w:val="auto"/>
                <w:spacing w:val="-2"/>
                <w:sz w:val="24"/>
              </w:rPr>
              <w:instrText xml:space="preserve">= 5 \* GB3</w:instrText>
            </w:r>
            <w:r>
              <w:rPr>
                <w:color w:val="auto"/>
                <w:spacing w:val="-2"/>
                <w:sz w:val="24"/>
              </w:rPr>
              <w:fldChar w:fldCharType="separate"/>
            </w:r>
            <w:r>
              <w:rPr>
                <w:rFonts w:hint="eastAsia"/>
                <w:color w:val="auto"/>
                <w:spacing w:val="-2"/>
                <w:sz w:val="24"/>
              </w:rPr>
              <w:t>⑤</w:t>
            </w:r>
            <w:r>
              <w:rPr>
                <w:color w:val="auto"/>
                <w:spacing w:val="-2"/>
                <w:sz w:val="24"/>
              </w:rPr>
              <w:fldChar w:fldCharType="end"/>
            </w:r>
            <w:r>
              <w:rPr>
                <w:color w:val="auto"/>
                <w:spacing w:val="-2"/>
                <w:sz w:val="24"/>
              </w:rPr>
              <w:t>砂石分离机产生的泥浆水：砂石分离机在运行过程需要不断注水进分离主机内对混凝土残留物进行搅拌冲洗，类比同类项目，冲洗一吨混凝土残留物约需0.5吨水，本项目搅拌主机及搅拌运输车冲洗产生的混凝土残留物约110t/a，因此，产生的泥浆水约55t/a。废水产生量按用水量的90%计，用水量的10%蒸发损耗，即污水产生总量为49.5m</w:t>
            </w:r>
            <w:r>
              <w:rPr>
                <w:color w:val="auto"/>
                <w:spacing w:val="-2"/>
                <w:sz w:val="24"/>
                <w:vertAlign w:val="superscript"/>
              </w:rPr>
              <w:t>3</w:t>
            </w:r>
            <w:r>
              <w:rPr>
                <w:color w:val="auto"/>
                <w:spacing w:val="-2"/>
                <w:sz w:val="24"/>
              </w:rPr>
              <w:t>/a，损耗量为5.5m</w:t>
            </w:r>
            <w:r>
              <w:rPr>
                <w:color w:val="auto"/>
                <w:spacing w:val="-2"/>
                <w:sz w:val="24"/>
                <w:vertAlign w:val="superscript"/>
              </w:rPr>
              <w:t>3</w:t>
            </w:r>
            <w:r>
              <w:rPr>
                <w:color w:val="auto"/>
                <w:spacing w:val="-2"/>
                <w:sz w:val="24"/>
              </w:rPr>
              <w:t>/a。泥浆水经</w:t>
            </w:r>
            <w:r>
              <w:rPr>
                <w:rFonts w:hint="eastAsia"/>
                <w:color w:val="auto"/>
                <w:spacing w:val="-2"/>
                <w:sz w:val="24"/>
              </w:rPr>
              <w:t>沉淀</w:t>
            </w:r>
            <w:r>
              <w:rPr>
                <w:color w:val="auto"/>
                <w:spacing w:val="-2"/>
                <w:sz w:val="24"/>
              </w:rPr>
              <w:t>后回用于砂石分离机用水。</w:t>
            </w:r>
          </w:p>
          <w:p>
            <w:pPr>
              <w:spacing w:line="460" w:lineRule="exact"/>
              <w:ind w:firstLine="472" w:firstLineChars="200"/>
              <w:rPr>
                <w:color w:val="auto"/>
                <w:spacing w:val="-2"/>
                <w:sz w:val="24"/>
              </w:rPr>
            </w:pPr>
            <w:r>
              <w:rPr>
                <w:color w:val="auto"/>
                <w:spacing w:val="-2"/>
                <w:sz w:val="24"/>
              </w:rPr>
              <w:t>综上，项目</w:t>
            </w:r>
            <w:r>
              <w:rPr>
                <w:rFonts w:hint="eastAsia"/>
                <w:color w:val="auto"/>
                <w:spacing w:val="-2"/>
                <w:sz w:val="24"/>
              </w:rPr>
              <w:t>混</w:t>
            </w:r>
            <w:r>
              <w:rPr>
                <w:color w:val="auto"/>
                <w:spacing w:val="-2"/>
                <w:sz w:val="24"/>
              </w:rPr>
              <w:t>凝土生产线</w:t>
            </w:r>
            <w:r>
              <w:rPr>
                <w:rFonts w:hint="eastAsia"/>
                <w:color w:val="auto"/>
                <w:spacing w:val="-2"/>
                <w:sz w:val="24"/>
              </w:rPr>
              <w:t>清洗废</w:t>
            </w:r>
            <w:r>
              <w:rPr>
                <w:color w:val="auto"/>
                <w:spacing w:val="-2"/>
                <w:sz w:val="24"/>
              </w:rPr>
              <w:t>水产生量总计5217.3</w:t>
            </w:r>
            <w:r>
              <w:rPr>
                <w:color w:val="auto"/>
                <w:sz w:val="24"/>
              </w:rPr>
              <w:t>m</w:t>
            </w:r>
            <w:r>
              <w:rPr>
                <w:color w:val="auto"/>
                <w:sz w:val="24"/>
                <w:vertAlign w:val="superscript"/>
              </w:rPr>
              <w:t>3</w:t>
            </w:r>
            <w:r>
              <w:rPr>
                <w:color w:val="auto"/>
                <w:spacing w:val="-2"/>
                <w:sz w:val="24"/>
              </w:rPr>
              <w:t>/a</w:t>
            </w:r>
            <w:r>
              <w:rPr>
                <w:rFonts w:hint="eastAsia"/>
                <w:color w:val="auto"/>
                <w:spacing w:val="-2"/>
                <w:sz w:val="24"/>
              </w:rPr>
              <w:t>（15.</w:t>
            </w:r>
            <w:r>
              <w:rPr>
                <w:color w:val="auto"/>
                <w:spacing w:val="-2"/>
                <w:sz w:val="24"/>
              </w:rPr>
              <w:t>81</w:t>
            </w:r>
            <w:r>
              <w:rPr>
                <w:color w:val="auto"/>
                <w:sz w:val="24"/>
              </w:rPr>
              <w:t xml:space="preserve"> m</w:t>
            </w:r>
            <w:r>
              <w:rPr>
                <w:color w:val="auto"/>
                <w:sz w:val="24"/>
                <w:vertAlign w:val="superscript"/>
              </w:rPr>
              <w:t>3</w:t>
            </w:r>
            <w:r>
              <w:rPr>
                <w:color w:val="auto"/>
                <w:spacing w:val="-2"/>
                <w:sz w:val="24"/>
              </w:rPr>
              <w:t>/d</w:t>
            </w:r>
            <w:r>
              <w:rPr>
                <w:rFonts w:hint="eastAsia"/>
                <w:color w:val="auto"/>
                <w:spacing w:val="-2"/>
                <w:sz w:val="24"/>
              </w:rPr>
              <w:t>），主要污染因子为SS，SS浓度为3000mg/L，SS产生量为</w:t>
            </w:r>
            <w:r>
              <w:rPr>
                <w:color w:val="auto"/>
                <w:spacing w:val="-2"/>
                <w:sz w:val="24"/>
              </w:rPr>
              <w:t>15.7</w:t>
            </w:r>
            <w:r>
              <w:rPr>
                <w:rFonts w:hint="eastAsia"/>
                <w:color w:val="auto"/>
                <w:spacing w:val="-2"/>
                <w:sz w:val="24"/>
              </w:rPr>
              <w:t>t/a，清洗废水经四</w:t>
            </w:r>
            <w:r>
              <w:rPr>
                <w:color w:val="auto"/>
                <w:spacing w:val="-2"/>
                <w:sz w:val="24"/>
              </w:rPr>
              <w:t>级</w:t>
            </w:r>
            <w:r>
              <w:rPr>
                <w:rFonts w:hint="eastAsia"/>
                <w:color w:val="auto"/>
                <w:spacing w:val="-2"/>
                <w:sz w:val="24"/>
              </w:rPr>
              <w:t>沉淀处理，处理效率为90%，则处理后废水SS浓度为300mg/L，则SS的产生量为</w:t>
            </w:r>
            <w:r>
              <w:rPr>
                <w:color w:val="auto"/>
                <w:spacing w:val="-2"/>
                <w:sz w:val="24"/>
              </w:rPr>
              <w:t>1.57</w:t>
            </w:r>
            <w:r>
              <w:rPr>
                <w:rFonts w:hint="eastAsia"/>
                <w:color w:val="auto"/>
                <w:spacing w:val="-2"/>
                <w:sz w:val="24"/>
              </w:rPr>
              <w:t>t/a，沉淀</w:t>
            </w:r>
            <w:r>
              <w:rPr>
                <w:color w:val="auto"/>
                <w:spacing w:val="-2"/>
                <w:sz w:val="24"/>
              </w:rPr>
              <w:t>池沉渣的产生</w:t>
            </w:r>
            <w:r>
              <w:rPr>
                <w:rFonts w:hint="eastAsia"/>
                <w:color w:val="auto"/>
                <w:spacing w:val="-2"/>
                <w:sz w:val="24"/>
              </w:rPr>
              <w:t>量</w:t>
            </w:r>
            <w:r>
              <w:rPr>
                <w:color w:val="auto"/>
                <w:spacing w:val="-2"/>
                <w:sz w:val="24"/>
              </w:rPr>
              <w:t>为14.13</w:t>
            </w:r>
            <w:r>
              <w:rPr>
                <w:rFonts w:hint="eastAsia"/>
                <w:color w:val="auto"/>
                <w:spacing w:val="-2"/>
                <w:sz w:val="24"/>
              </w:rPr>
              <w:t xml:space="preserve"> t/a。</w:t>
            </w:r>
          </w:p>
          <w:p>
            <w:pPr>
              <w:spacing w:line="460" w:lineRule="exact"/>
              <w:ind w:firstLine="472" w:firstLineChars="200"/>
              <w:rPr>
                <w:color w:val="auto"/>
                <w:spacing w:val="-2"/>
                <w:sz w:val="24"/>
              </w:rPr>
            </w:pPr>
          </w:p>
          <w:p>
            <w:pPr>
              <w:pStyle w:val="2"/>
              <w:rPr>
                <w:color w:val="auto"/>
              </w:rPr>
            </w:pPr>
          </w:p>
          <w:p>
            <w:pPr>
              <w:pStyle w:val="2"/>
              <w:ind w:firstLine="21" w:firstLineChars="10"/>
              <w:jc w:val="center"/>
              <w:rPr>
                <w:color w:val="auto"/>
              </w:rPr>
            </w:pPr>
            <w:r>
              <w:rPr>
                <w:color w:val="auto"/>
              </w:rPr>
              <w:drawing>
                <wp:anchor distT="0" distB="0" distL="114300" distR="114300" simplePos="0" relativeHeight="251682816" behindDoc="0" locked="0" layoutInCell="1" allowOverlap="1">
                  <wp:simplePos x="0" y="0"/>
                  <wp:positionH relativeFrom="column">
                    <wp:posOffset>11430</wp:posOffset>
                  </wp:positionH>
                  <wp:positionV relativeFrom="paragraph">
                    <wp:posOffset>160020</wp:posOffset>
                  </wp:positionV>
                  <wp:extent cx="5850255" cy="5048250"/>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850255" cy="5048250"/>
                          </a:xfrm>
                          <a:prstGeom prst="rect">
                            <a:avLst/>
                          </a:prstGeom>
                        </pic:spPr>
                      </pic:pic>
                    </a:graphicData>
                  </a:graphic>
                </wp:anchor>
              </w:drawing>
            </w:r>
          </w:p>
          <w:p>
            <w:pPr>
              <w:spacing w:line="360" w:lineRule="auto"/>
              <w:ind w:leftChars="-60" w:hanging="126" w:hangingChars="60"/>
              <w:rPr>
                <w:color w:val="auto"/>
              </w:rPr>
            </w:pPr>
            <w:r>
              <w:rPr>
                <w:color w:val="auto"/>
              </w:rPr>
              <w:pict>
                <v:rect id="Rectangle 29" o:spid="_x0000_s1030" o:spt="1" style="position:absolute;left:0pt;margin-left:414.8pt;margin-top:261.25pt;height:20.25pt;width:39pt;z-index:251676672;mso-width-relative:page;mso-height-relative:page;"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">
                  <v:path/>
                  <v:fill focussize="0,0"/>
                  <v:stroke on="f"/>
                  <v:imagedata o:title=""/>
                  <o:lock v:ext="edit"/>
                </v:rect>
              </w:pict>
            </w:r>
          </w:p>
          <w:p>
            <w:pPr>
              <w:spacing w:line="460" w:lineRule="exact"/>
              <w:ind w:firstLine="482" w:firstLineChars="200"/>
              <w:jc w:val="center"/>
              <w:rPr>
                <w:bCs/>
                <w:color w:val="auto"/>
                <w:sz w:val="24"/>
              </w:rPr>
            </w:pPr>
            <w:r>
              <w:rPr>
                <w:b/>
                <w:bCs/>
                <w:color w:val="auto"/>
                <w:sz w:val="24"/>
              </w:rPr>
              <w:t>图5-4项目水平衡图（单位：m</w:t>
            </w:r>
            <w:r>
              <w:rPr>
                <w:b/>
                <w:bCs/>
                <w:color w:val="auto"/>
                <w:sz w:val="24"/>
                <w:vertAlign w:val="superscript"/>
              </w:rPr>
              <w:t>3</w:t>
            </w:r>
            <w:r>
              <w:rPr>
                <w:b/>
                <w:bCs/>
                <w:color w:val="auto"/>
                <w:spacing w:val="-2"/>
                <w:sz w:val="24"/>
              </w:rPr>
              <w:t>/a</w:t>
            </w:r>
            <w:r>
              <w:rPr>
                <w:b/>
                <w:bCs/>
                <w:color w:val="auto"/>
                <w:sz w:val="24"/>
              </w:rPr>
              <w:t>）</w:t>
            </w:r>
          </w:p>
          <w:p>
            <w:pPr>
              <w:spacing w:line="460" w:lineRule="exact"/>
              <w:ind w:firstLine="482" w:firstLineChars="200"/>
              <w:rPr>
                <w:b/>
                <w:color w:val="auto"/>
                <w:sz w:val="24"/>
                <w:lang w:val="zh-CN"/>
              </w:rPr>
            </w:pPr>
            <w:r>
              <w:rPr>
                <w:b/>
                <w:color w:val="auto"/>
                <w:sz w:val="24"/>
                <w:lang w:val="zh-CN"/>
              </w:rPr>
              <w:t>3、噪声污染源</w:t>
            </w:r>
          </w:p>
          <w:p>
            <w:pPr>
              <w:spacing w:line="460" w:lineRule="exact"/>
              <w:ind w:firstLine="480" w:firstLineChars="200"/>
              <w:rPr>
                <w:bCs/>
                <w:color w:val="auto"/>
                <w:sz w:val="24"/>
                <w:lang w:val="zh-CN"/>
              </w:rPr>
            </w:pPr>
            <w:r>
              <w:rPr>
                <w:bCs/>
                <w:color w:val="auto"/>
                <w:sz w:val="24"/>
                <w:lang w:val="zh-CN"/>
              </w:rPr>
              <w:t>本项目噪声主要来自搅拌机、输送带等设备，类比同类项目相关资料，噪声源强见表5-8。</w:t>
            </w:r>
          </w:p>
          <w:p>
            <w:pPr>
              <w:spacing w:line="460" w:lineRule="exact"/>
              <w:ind w:firstLine="482" w:firstLineChars="200"/>
              <w:jc w:val="center"/>
              <w:rPr>
                <w:b/>
                <w:bCs/>
                <w:color w:val="auto"/>
                <w:sz w:val="24"/>
                <w:lang w:val="zh-CN"/>
              </w:rPr>
            </w:pPr>
            <w:r>
              <w:rPr>
                <w:b/>
                <w:bCs/>
                <w:color w:val="auto"/>
                <w:sz w:val="24"/>
                <w:lang w:val="zh-CN"/>
              </w:rPr>
              <w:t>表</w:t>
            </w:r>
            <w:r>
              <w:rPr>
                <w:b/>
                <w:bCs/>
                <w:color w:val="auto"/>
                <w:sz w:val="24"/>
              </w:rPr>
              <w:t>5-8</w:t>
            </w:r>
            <w:r>
              <w:rPr>
                <w:b/>
                <w:bCs/>
                <w:color w:val="auto"/>
                <w:sz w:val="24"/>
                <w:lang w:val="zh-CN"/>
              </w:rPr>
              <w:t>主要设备噪声一览表</w:t>
            </w:r>
          </w:p>
          <w:tbl>
            <w:tblPr>
              <w:tblStyle w:val="29"/>
              <w:tblW w:w="919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066"/>
              <w:gridCol w:w="3066"/>
              <w:gridCol w:w="306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b/>
                      <w:color w:val="auto"/>
                      <w:szCs w:val="21"/>
                    </w:rPr>
                  </w:pPr>
                  <w:r>
                    <w:rPr>
                      <w:b/>
                      <w:color w:val="auto"/>
                      <w:szCs w:val="21"/>
                    </w:rPr>
                    <w:t>主要设备</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b/>
                      <w:color w:val="auto"/>
                      <w:szCs w:val="21"/>
                    </w:rPr>
                  </w:pPr>
                  <w:r>
                    <w:rPr>
                      <w:b/>
                      <w:color w:val="auto"/>
                      <w:szCs w:val="21"/>
                    </w:rPr>
                    <w:t>设备数量</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b/>
                      <w:color w:val="auto"/>
                      <w:szCs w:val="21"/>
                    </w:rPr>
                  </w:pPr>
                  <w:r>
                    <w:rPr>
                      <w:b/>
                      <w:color w:val="auto"/>
                      <w:szCs w:val="21"/>
                    </w:rPr>
                    <w:t>噪声源强（dB（A））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搅拌机</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2台</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83~88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输送带</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2条</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82~85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66"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制砂（破碎机）</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1台</w:t>
                  </w:r>
                </w:p>
              </w:tc>
              <w:tc>
                <w:tcPr>
                  <w:tcW w:w="3066"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90~100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066"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振动筛</w:t>
                  </w:r>
                </w:p>
              </w:tc>
              <w:tc>
                <w:tcPr>
                  <w:tcW w:w="3066" w:type="dxa"/>
                  <w:tcBorders>
                    <w:top w:val="single" w:color="000000" w:sz="4" w:space="0"/>
                    <w:left w:val="single" w:color="000000" w:sz="4" w:space="0"/>
                    <w:bottom w:val="single" w:color="000000" w:sz="4" w:space="0"/>
                    <w:right w:val="single" w:color="000000" w:sz="4" w:space="0"/>
                  </w:tcBorders>
                </w:tcPr>
                <w:p>
                  <w:pPr>
                    <w:autoSpaceDE w:val="0"/>
                    <w:autoSpaceDN w:val="0"/>
                    <w:adjustRightInd w:val="0"/>
                    <w:snapToGrid w:val="0"/>
                    <w:spacing w:line="240" w:lineRule="exact"/>
                    <w:jc w:val="center"/>
                    <w:textAlignment w:val="baseline"/>
                    <w:rPr>
                      <w:color w:val="auto"/>
                      <w:szCs w:val="21"/>
                    </w:rPr>
                  </w:pPr>
                  <w:r>
                    <w:rPr>
                      <w:color w:val="auto"/>
                      <w:szCs w:val="21"/>
                    </w:rPr>
                    <w:t>1套</w:t>
                  </w:r>
                </w:p>
              </w:tc>
              <w:tc>
                <w:tcPr>
                  <w:tcW w:w="3066" w:type="dxa"/>
                  <w:tcBorders>
                    <w:top w:val="single" w:color="000000" w:sz="4" w:space="0"/>
                    <w:left w:val="single" w:color="000000" w:sz="4" w:space="0"/>
                    <w:bottom w:val="single" w:color="000000" w:sz="4" w:space="0"/>
                    <w:right w:val="single" w:color="000000" w:sz="4" w:space="0"/>
                  </w:tcBorders>
                </w:tcPr>
                <w:p>
                  <w:pPr>
                    <w:jc w:val="center"/>
                    <w:rPr>
                      <w:color w:val="auto"/>
                    </w:rPr>
                  </w:pPr>
                  <w:r>
                    <w:rPr>
                      <w:color w:val="auto"/>
                    </w:rPr>
                    <w:t>80~90</w:t>
                  </w:r>
                </w:p>
              </w:tc>
            </w:tr>
          </w:tbl>
          <w:p>
            <w:pPr>
              <w:spacing w:line="460" w:lineRule="exact"/>
              <w:ind w:firstLine="482" w:firstLineChars="200"/>
              <w:rPr>
                <w:b/>
                <w:bCs/>
                <w:color w:val="auto"/>
                <w:sz w:val="24"/>
              </w:rPr>
            </w:pPr>
            <w:r>
              <w:rPr>
                <w:b/>
                <w:bCs/>
                <w:color w:val="auto"/>
                <w:sz w:val="24"/>
              </w:rPr>
              <w:t>（4）固体废弃物污染源</w:t>
            </w:r>
          </w:p>
          <w:p>
            <w:pPr>
              <w:numPr>
                <w:ilvl w:val="0"/>
                <w:numId w:val="10"/>
              </w:numPr>
              <w:spacing w:line="460" w:lineRule="exact"/>
              <w:ind w:firstLine="480" w:firstLineChars="200"/>
              <w:rPr>
                <w:color w:val="auto"/>
                <w:sz w:val="24"/>
              </w:rPr>
            </w:pPr>
            <w:r>
              <w:rPr>
                <w:color w:val="auto"/>
                <w:sz w:val="24"/>
              </w:rPr>
              <w:t>一般工业固体废物</w:t>
            </w:r>
          </w:p>
          <w:p>
            <w:pPr>
              <w:spacing w:line="460" w:lineRule="exact"/>
              <w:ind w:firstLine="480" w:firstLineChars="200"/>
              <w:rPr>
                <w:color w:val="auto"/>
                <w:sz w:val="24"/>
              </w:rPr>
            </w:pPr>
            <w:r>
              <w:rPr>
                <w:rFonts w:hint="eastAsia"/>
                <w:color w:val="auto"/>
                <w:sz w:val="24"/>
              </w:rPr>
              <w:t>沉淀</w:t>
            </w:r>
            <w:r>
              <w:rPr>
                <w:color w:val="auto"/>
                <w:sz w:val="24"/>
              </w:rPr>
              <w:t>池泥渣：</w:t>
            </w:r>
            <w:r>
              <w:rPr>
                <w:rFonts w:hint="eastAsia"/>
                <w:color w:val="auto"/>
                <w:sz w:val="24"/>
              </w:rPr>
              <w:t>即本项目生产过程中搅拌机、运输车辆等设备及地面冲洗后产生的清洗废水及砂石分离机产生的泥浆水经沉淀过滤处理后的泥、沙及石子，项目清洗废水（搅拌机和运输车清洗废水、地面冲洗废水）产生量总计</w:t>
            </w:r>
            <w:r>
              <w:rPr>
                <w:color w:val="auto"/>
                <w:sz w:val="24"/>
              </w:rPr>
              <w:t>5217.3</w:t>
            </w:r>
            <w:r>
              <w:rPr>
                <w:rFonts w:hint="eastAsia"/>
                <w:color w:val="auto"/>
                <w:sz w:val="24"/>
              </w:rPr>
              <w:t>m3/a，主要污染因子为SS，SS浓度为3000mg/L，则项目SS产生量为</w:t>
            </w:r>
            <w:r>
              <w:rPr>
                <w:color w:val="auto"/>
                <w:sz w:val="24"/>
              </w:rPr>
              <w:t>15.7</w:t>
            </w:r>
            <w:r>
              <w:rPr>
                <w:rFonts w:hint="eastAsia"/>
                <w:color w:val="auto"/>
                <w:sz w:val="24"/>
              </w:rPr>
              <w:t>t/a，清洗废水经四</w:t>
            </w:r>
            <w:r>
              <w:rPr>
                <w:color w:val="auto"/>
                <w:sz w:val="24"/>
              </w:rPr>
              <w:t>级</w:t>
            </w:r>
            <w:r>
              <w:rPr>
                <w:rFonts w:hint="eastAsia"/>
                <w:color w:val="auto"/>
                <w:sz w:val="24"/>
              </w:rPr>
              <w:t>沉淀处理，处理效率为90%，则处理后废水SS浓度为300mg/L，则沉淀池沉渣产生量为</w:t>
            </w:r>
            <w:r>
              <w:rPr>
                <w:color w:val="auto"/>
                <w:sz w:val="24"/>
              </w:rPr>
              <w:t>14.13</w:t>
            </w:r>
            <w:r>
              <w:rPr>
                <w:rFonts w:hint="eastAsia"/>
                <w:color w:val="auto"/>
                <w:sz w:val="24"/>
              </w:rPr>
              <w:t xml:space="preserve"> t/a，晾干后可作为生产原料回用，不外排。</w:t>
            </w:r>
          </w:p>
          <w:p>
            <w:pPr>
              <w:spacing w:line="460" w:lineRule="exact"/>
              <w:ind w:firstLine="480" w:firstLineChars="200"/>
              <w:rPr>
                <w:color w:val="auto"/>
                <w:sz w:val="24"/>
              </w:rPr>
            </w:pPr>
            <w:r>
              <w:rPr>
                <w:color w:val="auto"/>
                <w:sz w:val="24"/>
              </w:rPr>
              <w:t>砂石分离机分离出的砂、石：项目搅拌机及搅拌运输车残留混凝土年产生量约110吨，经砂石分离机分离搅拌冲洗分离出砂、石，均可作为生产原料回用，不外排。</w:t>
            </w:r>
          </w:p>
          <w:p>
            <w:pPr>
              <w:spacing w:line="460" w:lineRule="exact"/>
              <w:ind w:firstLine="480" w:firstLineChars="200"/>
              <w:rPr>
                <w:color w:val="auto"/>
                <w:sz w:val="24"/>
              </w:rPr>
            </w:pPr>
            <w:r>
              <w:rPr>
                <w:color w:val="auto"/>
                <w:sz w:val="24"/>
              </w:rPr>
              <w:t>实验室将产生少量废弃的混凝土试验块，类比同规模同类型企业，产生量约为5t/a，每天产生量较少，经过砂石分离机分离后回用于生产。</w:t>
            </w:r>
          </w:p>
          <w:p>
            <w:pPr>
              <w:pStyle w:val="195"/>
              <w:autoSpaceDE/>
              <w:autoSpaceDN/>
              <w:snapToGrid w:val="0"/>
              <w:spacing w:line="460" w:lineRule="exact"/>
              <w:ind w:firstLine="480" w:firstLineChars="200"/>
              <w:textAlignment w:val="auto"/>
              <w:rPr>
                <w:rFonts w:eastAsia="宋体"/>
                <w:color w:val="auto"/>
                <w:kern w:val="2"/>
                <w:szCs w:val="24"/>
              </w:rPr>
            </w:pPr>
            <w:r>
              <w:rPr>
                <w:rFonts w:eastAsia="宋体"/>
                <w:color w:val="auto"/>
                <w:kern w:val="2"/>
                <w:szCs w:val="24"/>
              </w:rPr>
              <w:t>2）生活垃圾</w:t>
            </w:r>
          </w:p>
          <w:p>
            <w:pPr>
              <w:spacing w:line="460" w:lineRule="exact"/>
              <w:ind w:firstLine="520" w:firstLineChars="200"/>
              <w:rPr>
                <w:color w:val="auto"/>
                <w:sz w:val="24"/>
              </w:rPr>
            </w:pPr>
            <w:r>
              <w:rPr>
                <w:bCs/>
                <w:color w:val="auto"/>
                <w:spacing w:val="10"/>
                <w:sz w:val="24"/>
              </w:rPr>
              <w:t>本项目</w:t>
            </w:r>
            <w:r>
              <w:rPr>
                <w:color w:val="auto"/>
                <w:sz w:val="24"/>
              </w:rPr>
              <w:t>员工42人</w:t>
            </w:r>
            <w:r>
              <w:rPr>
                <w:rFonts w:hint="eastAsia"/>
                <w:color w:val="auto"/>
                <w:sz w:val="24"/>
              </w:rPr>
              <w:t>，均不</w:t>
            </w:r>
            <w:r>
              <w:rPr>
                <w:color w:val="auto"/>
                <w:sz w:val="24"/>
              </w:rPr>
              <w:t>在厂内食宿，</w:t>
            </w:r>
            <w:r>
              <w:rPr>
                <w:rFonts w:hint="eastAsia"/>
                <w:color w:val="auto"/>
                <w:sz w:val="24"/>
              </w:rPr>
              <w:t>员工生活垃圾产生量按0.3kg/</w:t>
            </w:r>
            <w:r>
              <w:rPr>
                <w:rFonts w:hint="eastAsia"/>
                <w:bCs/>
                <w:color w:val="auto"/>
                <w:sz w:val="24"/>
              </w:rPr>
              <w:t>人</w:t>
            </w:r>
            <w:r>
              <w:rPr>
                <w:bCs/>
                <w:color w:val="auto"/>
                <w:sz w:val="24"/>
              </w:rPr>
              <w:t>·d</w:t>
            </w:r>
            <w:r>
              <w:rPr>
                <w:rFonts w:hint="eastAsia"/>
                <w:color w:val="auto"/>
                <w:sz w:val="24"/>
              </w:rPr>
              <w:t>，则年产生活垃圾</w:t>
            </w:r>
            <w:r>
              <w:rPr>
                <w:color w:val="auto"/>
                <w:sz w:val="24"/>
              </w:rPr>
              <w:t>4.16</w:t>
            </w:r>
            <w:r>
              <w:rPr>
                <w:rFonts w:hint="eastAsia"/>
                <w:color w:val="auto"/>
                <w:sz w:val="24"/>
              </w:rPr>
              <w:t>t</w:t>
            </w:r>
            <w:r>
              <w:rPr>
                <w:color w:val="auto"/>
                <w:sz w:val="24"/>
              </w:rPr>
              <w:t>。</w:t>
            </w:r>
            <w:r>
              <w:rPr>
                <w:bCs/>
                <w:color w:val="auto"/>
                <w:sz w:val="24"/>
              </w:rPr>
              <w:t>生活垃圾由环卫部门收集统一处理。</w:t>
            </w:r>
          </w:p>
          <w:p>
            <w:pPr>
              <w:spacing w:line="460" w:lineRule="exact"/>
              <w:ind w:firstLine="480" w:firstLineChars="200"/>
              <w:rPr>
                <w:color w:val="auto"/>
                <w:sz w:val="24"/>
              </w:rPr>
            </w:pPr>
            <w:r>
              <w:rPr>
                <w:color w:val="auto"/>
                <w:sz w:val="24"/>
              </w:rPr>
              <w:t>3）粉尘</w:t>
            </w:r>
          </w:p>
          <w:p>
            <w:pPr>
              <w:spacing w:line="460" w:lineRule="exact"/>
              <w:ind w:firstLine="480" w:firstLineChars="200"/>
              <w:rPr>
                <w:color w:val="auto"/>
                <w:sz w:val="24"/>
              </w:rPr>
            </w:pPr>
            <w:r>
              <w:rPr>
                <w:color w:val="auto"/>
                <w:sz w:val="24"/>
              </w:rPr>
              <w:t>本项目制砂生产</w:t>
            </w:r>
            <w:r>
              <w:rPr>
                <w:bCs/>
                <w:color w:val="auto"/>
                <w:sz w:val="24"/>
              </w:rPr>
              <w:t>线、搅拌系统产生的粉尘采用袋式除尘系统</w:t>
            </w:r>
            <w:r>
              <w:rPr>
                <w:rFonts w:hint="eastAsia"/>
                <w:bCs/>
                <w:color w:val="auto"/>
                <w:sz w:val="24"/>
              </w:rPr>
              <w:t>处理</w:t>
            </w:r>
            <w:r>
              <w:rPr>
                <w:bCs/>
                <w:color w:val="auto"/>
                <w:sz w:val="24"/>
              </w:rPr>
              <w:t>。</w:t>
            </w:r>
            <w:r>
              <w:rPr>
                <w:rFonts w:hint="eastAsia"/>
                <w:bCs/>
                <w:color w:val="auto"/>
                <w:sz w:val="24"/>
              </w:rPr>
              <w:t>其中制砂生产线产生的石粉</w:t>
            </w:r>
            <w:r>
              <w:rPr>
                <w:bCs/>
                <w:color w:val="auto"/>
                <w:sz w:val="24"/>
              </w:rPr>
              <w:t>3710</w:t>
            </w:r>
            <w:r>
              <w:rPr>
                <w:rFonts w:hint="eastAsia"/>
                <w:bCs/>
                <w:color w:val="auto"/>
                <w:sz w:val="24"/>
              </w:rPr>
              <w:t>吨，90%的石粉在除尘器沉降室自然沉降至密封石粉罐，10%细微粉尘（约</w:t>
            </w:r>
            <w:r>
              <w:rPr>
                <w:bCs/>
                <w:color w:val="auto"/>
                <w:sz w:val="24"/>
              </w:rPr>
              <w:t>371</w:t>
            </w:r>
            <w:r>
              <w:rPr>
                <w:rFonts w:hint="eastAsia"/>
                <w:bCs/>
                <w:color w:val="auto"/>
                <w:sz w:val="24"/>
              </w:rPr>
              <w:t xml:space="preserve"> t/a）</w:t>
            </w:r>
            <w:r>
              <w:rPr>
                <w:rFonts w:hint="eastAsia"/>
                <w:color w:val="auto"/>
                <w:sz w:val="24"/>
              </w:rPr>
              <w:t>经脉冲布袋式除尘处理后收集于密封石粉罐外售给砖厂制砖</w:t>
            </w:r>
            <w:r>
              <w:rPr>
                <w:color w:val="auto"/>
                <w:sz w:val="24"/>
              </w:rPr>
              <w:t>，</w:t>
            </w:r>
            <w:r>
              <w:rPr>
                <w:rFonts w:hint="eastAsia"/>
                <w:color w:val="auto"/>
                <w:sz w:val="24"/>
              </w:rPr>
              <w:t>混</w:t>
            </w:r>
            <w:r>
              <w:rPr>
                <w:color w:val="auto"/>
                <w:sz w:val="24"/>
              </w:rPr>
              <w:t>凝土</w:t>
            </w:r>
            <w:r>
              <w:rPr>
                <w:rFonts w:hint="eastAsia"/>
                <w:color w:val="auto"/>
                <w:sz w:val="24"/>
              </w:rPr>
              <w:t>搅拌生</w:t>
            </w:r>
            <w:r>
              <w:rPr>
                <w:color w:val="auto"/>
                <w:sz w:val="24"/>
              </w:rPr>
              <w:t>产线收集的粉尘447.75</w:t>
            </w:r>
            <w:r>
              <w:rPr>
                <w:rFonts w:hint="eastAsia"/>
                <w:color w:val="auto"/>
                <w:sz w:val="24"/>
              </w:rPr>
              <w:t>(</w:t>
            </w:r>
            <w:r>
              <w:rPr>
                <w:color w:val="auto"/>
                <w:sz w:val="24"/>
              </w:rPr>
              <w:t>375.82</w:t>
            </w:r>
            <w:r>
              <w:rPr>
                <w:rFonts w:hint="eastAsia"/>
                <w:color w:val="auto"/>
                <w:sz w:val="24"/>
              </w:rPr>
              <w:t>+</w:t>
            </w:r>
            <w:r>
              <w:rPr>
                <w:color w:val="auto"/>
                <w:sz w:val="24"/>
              </w:rPr>
              <w:t>71.93</w:t>
            </w:r>
            <w:r>
              <w:rPr>
                <w:rFonts w:hint="eastAsia"/>
                <w:color w:val="auto"/>
                <w:sz w:val="24"/>
              </w:rPr>
              <w:t>)</w:t>
            </w:r>
            <w:r>
              <w:rPr>
                <w:color w:val="auto"/>
                <w:sz w:val="24"/>
              </w:rPr>
              <w:t xml:space="preserve"> t/a</w:t>
            </w:r>
            <w:r>
              <w:rPr>
                <w:rFonts w:hint="eastAsia"/>
                <w:color w:val="auto"/>
                <w:sz w:val="24"/>
              </w:rPr>
              <w:t>，收集</w:t>
            </w:r>
            <w:r>
              <w:rPr>
                <w:color w:val="auto"/>
                <w:sz w:val="24"/>
              </w:rPr>
              <w:t>后回用于生产过程。</w:t>
            </w:r>
          </w:p>
          <w:p>
            <w:pPr>
              <w:spacing w:line="460" w:lineRule="exact"/>
              <w:ind w:firstLine="480" w:firstLineChars="200"/>
              <w:rPr>
                <w:color w:val="auto"/>
                <w:sz w:val="24"/>
              </w:rPr>
            </w:pPr>
            <w:r>
              <w:rPr>
                <w:rFonts w:hint="eastAsia"/>
                <w:color w:val="auto"/>
                <w:sz w:val="24"/>
              </w:rPr>
              <w:t>根据</w:t>
            </w:r>
            <w:r>
              <w:rPr>
                <w:color w:val="auto"/>
                <w:sz w:val="24"/>
              </w:rPr>
              <w:t>《</w:t>
            </w:r>
            <w:r>
              <w:rPr>
                <w:rFonts w:hint="eastAsia"/>
                <w:color w:val="auto"/>
                <w:sz w:val="24"/>
              </w:rPr>
              <w:t>固体废物再生利用污染防治技术导则</w:t>
            </w:r>
            <w:r>
              <w:rPr>
                <w:color w:val="auto"/>
                <w:sz w:val="24"/>
              </w:rPr>
              <w:t>》</w:t>
            </w:r>
            <w:r>
              <w:rPr>
                <w:rFonts w:hint="eastAsia"/>
                <w:color w:val="auto"/>
                <w:sz w:val="24"/>
              </w:rPr>
              <w:t>（HJ1091-2020）“6.1固</w:t>
            </w:r>
            <w:r>
              <w:rPr>
                <w:color w:val="auto"/>
                <w:sz w:val="24"/>
              </w:rPr>
              <w:t>体废物建材利用</w:t>
            </w:r>
            <w:r>
              <w:rPr>
                <w:rFonts w:hint="eastAsia"/>
                <w:color w:val="auto"/>
                <w:sz w:val="24"/>
              </w:rPr>
              <w:t>设施</w:t>
            </w:r>
            <w:r>
              <w:rPr>
                <w:color w:val="auto"/>
                <w:sz w:val="24"/>
              </w:rPr>
              <w:t>应配</w:t>
            </w:r>
            <w:r>
              <w:rPr>
                <w:rFonts w:hint="eastAsia"/>
                <w:color w:val="auto"/>
                <w:sz w:val="24"/>
              </w:rPr>
              <w:t>备</w:t>
            </w:r>
            <w:r>
              <w:rPr>
                <w:color w:val="auto"/>
                <w:sz w:val="24"/>
              </w:rPr>
              <w:t>必要的</w:t>
            </w:r>
            <w:r>
              <w:rPr>
                <w:rFonts w:hint="eastAsia"/>
                <w:color w:val="auto"/>
                <w:sz w:val="24"/>
              </w:rPr>
              <w:t>废</w:t>
            </w:r>
            <w:r>
              <w:rPr>
                <w:color w:val="auto"/>
                <w:sz w:val="24"/>
              </w:rPr>
              <w:t>气处理</w:t>
            </w:r>
            <w:r>
              <w:rPr>
                <w:rFonts w:hint="eastAsia"/>
                <w:color w:val="auto"/>
                <w:sz w:val="24"/>
              </w:rPr>
              <w:t>、</w:t>
            </w:r>
            <w:r>
              <w:rPr>
                <w:color w:val="auto"/>
                <w:sz w:val="24"/>
              </w:rPr>
              <w:t>防止或降低噪声</w:t>
            </w:r>
            <w:r>
              <w:rPr>
                <w:rFonts w:hint="eastAsia"/>
                <w:color w:val="auto"/>
                <w:sz w:val="24"/>
              </w:rPr>
              <w:t>与</w:t>
            </w:r>
            <w:r>
              <w:rPr>
                <w:color w:val="auto"/>
                <w:sz w:val="24"/>
              </w:rPr>
              <w:t>粉尘处理等</w:t>
            </w:r>
            <w:r>
              <w:rPr>
                <w:rFonts w:hint="eastAsia"/>
                <w:color w:val="auto"/>
                <w:sz w:val="24"/>
              </w:rPr>
              <w:t>污染</w:t>
            </w:r>
            <w:r>
              <w:rPr>
                <w:color w:val="auto"/>
                <w:sz w:val="24"/>
              </w:rPr>
              <w:t>防治</w:t>
            </w:r>
            <w:r>
              <w:rPr>
                <w:rFonts w:hint="eastAsia"/>
                <w:color w:val="auto"/>
                <w:sz w:val="24"/>
              </w:rPr>
              <w:t>装置</w:t>
            </w:r>
            <w:r>
              <w:rPr>
                <w:color w:val="auto"/>
                <w:sz w:val="24"/>
              </w:rPr>
              <w:t>；</w:t>
            </w:r>
            <w:r>
              <w:rPr>
                <w:rFonts w:hint="eastAsia"/>
                <w:color w:val="auto"/>
                <w:sz w:val="24"/>
              </w:rPr>
              <w:t>6.4固</w:t>
            </w:r>
            <w:r>
              <w:rPr>
                <w:color w:val="auto"/>
                <w:sz w:val="24"/>
              </w:rPr>
              <w:t>体废物建材利用</w:t>
            </w:r>
            <w:r>
              <w:rPr>
                <w:rFonts w:hint="eastAsia"/>
                <w:color w:val="auto"/>
                <w:sz w:val="24"/>
              </w:rPr>
              <w:t>过程</w:t>
            </w:r>
            <w:r>
              <w:rPr>
                <w:color w:val="auto"/>
                <w:sz w:val="24"/>
              </w:rPr>
              <w:t>中的再生</w:t>
            </w:r>
            <w:r>
              <w:rPr>
                <w:rFonts w:hint="eastAsia"/>
                <w:color w:val="auto"/>
                <w:sz w:val="24"/>
              </w:rPr>
              <w:t>利用</w:t>
            </w:r>
            <w:r>
              <w:rPr>
                <w:color w:val="auto"/>
                <w:sz w:val="24"/>
              </w:rPr>
              <w:t>工艺单元</w:t>
            </w:r>
            <w:r>
              <w:rPr>
                <w:rFonts w:hint="eastAsia"/>
                <w:color w:val="auto"/>
                <w:sz w:val="24"/>
              </w:rPr>
              <w:t>的</w:t>
            </w:r>
            <w:r>
              <w:rPr>
                <w:color w:val="auto"/>
                <w:sz w:val="24"/>
              </w:rPr>
              <w:t>污染控制</w:t>
            </w:r>
            <w:r>
              <w:rPr>
                <w:rFonts w:hint="eastAsia"/>
                <w:color w:val="auto"/>
                <w:sz w:val="24"/>
              </w:rPr>
              <w:t>应</w:t>
            </w:r>
            <w:r>
              <w:rPr>
                <w:color w:val="auto"/>
                <w:sz w:val="24"/>
              </w:rPr>
              <w:t>分别满足本标准</w:t>
            </w:r>
            <w:r>
              <w:rPr>
                <w:rFonts w:hint="eastAsia"/>
                <w:color w:val="auto"/>
                <w:sz w:val="24"/>
              </w:rPr>
              <w:t>中相应</w:t>
            </w:r>
            <w:r>
              <w:rPr>
                <w:color w:val="auto"/>
                <w:sz w:val="24"/>
              </w:rPr>
              <w:t>再</w:t>
            </w:r>
            <w:r>
              <w:rPr>
                <w:rFonts w:hint="eastAsia"/>
                <w:color w:val="auto"/>
                <w:sz w:val="24"/>
              </w:rPr>
              <w:t>生</w:t>
            </w:r>
            <w:r>
              <w:rPr>
                <w:color w:val="auto"/>
                <w:sz w:val="24"/>
              </w:rPr>
              <w:t>利用</w:t>
            </w:r>
            <w:r>
              <w:rPr>
                <w:rFonts w:hint="eastAsia"/>
                <w:color w:val="auto"/>
                <w:sz w:val="24"/>
              </w:rPr>
              <w:t>工</w:t>
            </w:r>
            <w:r>
              <w:rPr>
                <w:color w:val="auto"/>
                <w:sz w:val="24"/>
              </w:rPr>
              <w:t>艺单元</w:t>
            </w:r>
            <w:r>
              <w:rPr>
                <w:rFonts w:hint="eastAsia"/>
                <w:color w:val="auto"/>
                <w:sz w:val="24"/>
              </w:rPr>
              <w:t>的</w:t>
            </w:r>
            <w:r>
              <w:rPr>
                <w:color w:val="auto"/>
                <w:sz w:val="24"/>
              </w:rPr>
              <w:t>要求</w:t>
            </w:r>
            <w:r>
              <w:rPr>
                <w:rFonts w:hint="eastAsia"/>
                <w:color w:val="auto"/>
                <w:sz w:val="24"/>
              </w:rPr>
              <w:t>”。</w:t>
            </w:r>
            <w:r>
              <w:rPr>
                <w:color w:val="auto"/>
                <w:sz w:val="24"/>
              </w:rPr>
              <w:t>本</w:t>
            </w:r>
            <w:r>
              <w:rPr>
                <w:rFonts w:hint="eastAsia"/>
                <w:color w:val="auto"/>
                <w:sz w:val="24"/>
              </w:rPr>
              <w:t>项目生</w:t>
            </w:r>
            <w:r>
              <w:rPr>
                <w:color w:val="auto"/>
                <w:sz w:val="24"/>
              </w:rPr>
              <w:t>产过程产生的</w:t>
            </w:r>
            <w:r>
              <w:rPr>
                <w:rFonts w:hint="eastAsia"/>
                <w:color w:val="auto"/>
                <w:sz w:val="24"/>
              </w:rPr>
              <w:t>固</w:t>
            </w:r>
            <w:r>
              <w:rPr>
                <w:color w:val="auto"/>
                <w:sz w:val="24"/>
              </w:rPr>
              <w:t>体废物均存放于固废暂存点，</w:t>
            </w:r>
            <w:r>
              <w:rPr>
                <w:rFonts w:hint="eastAsia"/>
                <w:color w:val="auto"/>
                <w:sz w:val="24"/>
              </w:rPr>
              <w:t>固</w:t>
            </w:r>
            <w:r>
              <w:rPr>
                <w:color w:val="auto"/>
                <w:sz w:val="24"/>
              </w:rPr>
              <w:t>废</w:t>
            </w:r>
            <w:r>
              <w:rPr>
                <w:rFonts w:hint="eastAsia"/>
                <w:color w:val="auto"/>
                <w:sz w:val="24"/>
              </w:rPr>
              <w:t>暂</w:t>
            </w:r>
            <w:r>
              <w:rPr>
                <w:color w:val="auto"/>
                <w:sz w:val="24"/>
              </w:rPr>
              <w:t>存点</w:t>
            </w:r>
            <w:r>
              <w:rPr>
                <w:rFonts w:hint="eastAsia"/>
                <w:color w:val="auto"/>
                <w:sz w:val="24"/>
              </w:rPr>
              <w:t>设置</w:t>
            </w:r>
            <w:r>
              <w:rPr>
                <w:color w:val="auto"/>
                <w:sz w:val="24"/>
              </w:rPr>
              <w:t>了防火防雨淋</w:t>
            </w:r>
            <w:r>
              <w:rPr>
                <w:rFonts w:hint="eastAsia"/>
                <w:color w:val="auto"/>
                <w:sz w:val="24"/>
              </w:rPr>
              <w:t>、</w:t>
            </w:r>
            <w:r>
              <w:rPr>
                <w:color w:val="auto"/>
                <w:sz w:val="24"/>
              </w:rPr>
              <w:t>防渗漏等措施</w:t>
            </w:r>
            <w:r>
              <w:rPr>
                <w:rFonts w:hint="eastAsia"/>
                <w:color w:val="auto"/>
                <w:sz w:val="24"/>
              </w:rPr>
              <w:t>，</w:t>
            </w:r>
            <w:r>
              <w:rPr>
                <w:color w:val="auto"/>
                <w:sz w:val="24"/>
              </w:rPr>
              <w:t>因此满足《</w:t>
            </w:r>
            <w:r>
              <w:rPr>
                <w:rFonts w:hint="eastAsia"/>
                <w:color w:val="auto"/>
                <w:sz w:val="24"/>
              </w:rPr>
              <w:t>固体废物再生利用污染防治技术导则</w:t>
            </w:r>
            <w:r>
              <w:rPr>
                <w:color w:val="auto"/>
                <w:sz w:val="24"/>
              </w:rPr>
              <w:t>》</w:t>
            </w:r>
            <w:r>
              <w:rPr>
                <w:rFonts w:hint="eastAsia"/>
                <w:color w:val="auto"/>
                <w:sz w:val="24"/>
              </w:rPr>
              <w:t>中</w:t>
            </w:r>
            <w:r>
              <w:rPr>
                <w:color w:val="auto"/>
                <w:sz w:val="24"/>
              </w:rPr>
              <w:t>的相</w:t>
            </w:r>
            <w:r>
              <w:rPr>
                <w:rFonts w:hint="eastAsia"/>
                <w:color w:val="auto"/>
                <w:sz w:val="24"/>
              </w:rPr>
              <w:t>关</w:t>
            </w:r>
            <w:r>
              <w:rPr>
                <w:color w:val="auto"/>
                <w:sz w:val="24"/>
              </w:rPr>
              <w:t>相求。</w:t>
            </w:r>
          </w:p>
          <w:p>
            <w:pPr>
              <w:pStyle w:val="2"/>
              <w:ind w:firstLine="0" w:firstLineChars="0"/>
              <w:rPr>
                <w:color w:val="auto"/>
              </w:rPr>
            </w:pPr>
          </w:p>
        </w:tc>
      </w:tr>
    </w:tbl>
    <w:p>
      <w:pPr>
        <w:pStyle w:val="3"/>
        <w:keepLines/>
        <w:tabs>
          <w:tab w:val="left" w:pos="630"/>
        </w:tabs>
        <w:ind w:firstLine="602"/>
        <w:jc w:val="both"/>
        <w:rPr>
          <w:b/>
          <w:bCs/>
          <w:color w:val="auto"/>
          <w:kern w:val="44"/>
          <w:sz w:val="30"/>
          <w:szCs w:val="30"/>
        </w:rPr>
        <w:sectPr>
          <w:pgSz w:w="11906" w:h="16838"/>
          <w:pgMar w:top="1440" w:right="1080" w:bottom="1440" w:left="1080" w:header="851" w:footer="992" w:gutter="0"/>
          <w:cols w:space="720" w:num="1"/>
          <w:docGrid w:linePitch="312" w:charSpace="0"/>
        </w:sectPr>
      </w:pPr>
    </w:p>
    <w:p>
      <w:pPr>
        <w:pStyle w:val="3"/>
        <w:keepLines/>
        <w:tabs>
          <w:tab w:val="left" w:pos="630"/>
        </w:tabs>
        <w:jc w:val="both"/>
        <w:rPr>
          <w:b/>
          <w:bCs/>
          <w:color w:val="auto"/>
          <w:kern w:val="44"/>
          <w:sz w:val="30"/>
          <w:szCs w:val="30"/>
        </w:rPr>
      </w:pPr>
      <w:r>
        <w:rPr>
          <w:b/>
          <w:bCs/>
          <w:color w:val="auto"/>
          <w:kern w:val="44"/>
          <w:sz w:val="30"/>
          <w:szCs w:val="30"/>
        </w:rPr>
        <w:t>六、项目主要污染物产生及预计排放情况</w:t>
      </w:r>
    </w:p>
    <w:tbl>
      <w:tblPr>
        <w:tblStyle w:val="29"/>
        <w:tblW w:w="9731" w:type="dxa"/>
        <w:jc w:val="center"/>
        <w:tblBorders>
          <w:top w:val="single" w:color="auto" w:sz="4" w:space="0"/>
          <w:left w:val="single" w:color="auto" w:sz="4" w:space="0"/>
          <w:bottom w:val="single" w:color="auto" w:sz="6" w:space="0"/>
          <w:right w:val="single" w:color="auto" w:sz="4" w:space="0"/>
          <w:insideH w:val="none" w:color="auto" w:sz="0" w:space="0"/>
          <w:insideV w:val="none" w:color="auto" w:sz="0" w:space="0"/>
        </w:tblBorders>
        <w:tblLayout w:type="fixed"/>
        <w:tblCellMar>
          <w:top w:w="0" w:type="dxa"/>
          <w:left w:w="28" w:type="dxa"/>
          <w:bottom w:w="0" w:type="dxa"/>
          <w:right w:w="28" w:type="dxa"/>
        </w:tblCellMar>
      </w:tblPr>
      <w:tblGrid>
        <w:gridCol w:w="855"/>
        <w:gridCol w:w="709"/>
        <w:gridCol w:w="1125"/>
        <w:gridCol w:w="2126"/>
        <w:gridCol w:w="1285"/>
        <w:gridCol w:w="1134"/>
        <w:gridCol w:w="1248"/>
        <w:gridCol w:w="28"/>
        <w:gridCol w:w="1221"/>
      </w:tblGrid>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tcBorders>
              <w:top w:val="single" w:color="auto" w:sz="4" w:space="0"/>
              <w:bottom w:val="single" w:color="auto" w:sz="4" w:space="0"/>
              <w:right w:val="single" w:color="auto" w:sz="4" w:space="0"/>
              <w:tl2br w:val="single" w:color="auto" w:sz="4" w:space="0"/>
            </w:tcBorders>
          </w:tcPr>
          <w:p>
            <w:pPr>
              <w:tabs>
                <w:tab w:val="left" w:pos="-83"/>
              </w:tabs>
              <w:snapToGrid w:val="0"/>
              <w:ind w:left="105" w:leftChars="50" w:right="105" w:rightChars="50"/>
              <w:jc w:val="right"/>
              <w:rPr>
                <w:color w:val="auto"/>
                <w:szCs w:val="21"/>
              </w:rPr>
            </w:pPr>
            <w:r>
              <w:rPr>
                <w:color w:val="auto"/>
                <w:szCs w:val="21"/>
              </w:rPr>
              <w:t>内容</w:t>
            </w:r>
          </w:p>
          <w:p>
            <w:pPr>
              <w:tabs>
                <w:tab w:val="left" w:pos="-83"/>
              </w:tabs>
              <w:snapToGrid w:val="0"/>
              <w:ind w:right="105" w:rightChars="50"/>
              <w:rPr>
                <w:color w:val="auto"/>
                <w:szCs w:val="21"/>
              </w:rPr>
            </w:pPr>
            <w:r>
              <w:rPr>
                <w:color w:val="auto"/>
                <w:szCs w:val="21"/>
              </w:rPr>
              <w:t>类型</w:t>
            </w:r>
          </w:p>
        </w:tc>
        <w:tc>
          <w:tcPr>
            <w:tcW w:w="1834" w:type="dxa"/>
            <w:gridSpan w:val="2"/>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排放源</w:t>
            </w:r>
          </w:p>
          <w:p>
            <w:pPr>
              <w:tabs>
                <w:tab w:val="left" w:pos="-83"/>
              </w:tabs>
              <w:snapToGrid w:val="0"/>
              <w:ind w:left="105" w:leftChars="50" w:right="105" w:rightChars="50"/>
              <w:jc w:val="center"/>
              <w:rPr>
                <w:color w:val="auto"/>
                <w:szCs w:val="21"/>
              </w:rPr>
            </w:pPr>
            <w:r>
              <w:rPr>
                <w:color w:val="auto"/>
                <w:szCs w:val="21"/>
              </w:rPr>
              <w:t>（编号）</w:t>
            </w:r>
          </w:p>
        </w:tc>
        <w:tc>
          <w:tcPr>
            <w:tcW w:w="2126" w:type="dxa"/>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污染物名称</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处理前产生浓度</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处理前产生量</w:t>
            </w:r>
          </w:p>
        </w:tc>
        <w:tc>
          <w:tcPr>
            <w:tcW w:w="1276" w:type="dxa"/>
            <w:gridSpan w:val="2"/>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排放浓度</w:t>
            </w:r>
          </w:p>
        </w:tc>
        <w:tc>
          <w:tcPr>
            <w:tcW w:w="1221" w:type="dxa"/>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排放量</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424" w:hRule="atLeast"/>
          <w:jc w:val="center"/>
        </w:trPr>
        <w:tc>
          <w:tcPr>
            <w:tcW w:w="855" w:type="dxa"/>
            <w:vMerge w:val="restart"/>
            <w:tcBorders>
              <w:right w:val="single" w:color="auto" w:sz="4" w:space="0"/>
            </w:tcBorders>
            <w:vAlign w:val="center"/>
          </w:tcPr>
          <w:p>
            <w:pPr>
              <w:snapToGrid w:val="0"/>
              <w:spacing w:line="216" w:lineRule="auto"/>
              <w:jc w:val="center"/>
              <w:rPr>
                <w:b/>
                <w:color w:val="auto"/>
                <w:szCs w:val="21"/>
              </w:rPr>
            </w:pPr>
            <w:r>
              <w:rPr>
                <w:b/>
                <w:color w:val="auto"/>
                <w:szCs w:val="21"/>
              </w:rPr>
              <w:t>大</w:t>
            </w:r>
          </w:p>
          <w:p>
            <w:pPr>
              <w:snapToGrid w:val="0"/>
              <w:spacing w:line="216" w:lineRule="auto"/>
              <w:jc w:val="center"/>
              <w:rPr>
                <w:b/>
                <w:color w:val="auto"/>
                <w:szCs w:val="21"/>
              </w:rPr>
            </w:pPr>
            <w:r>
              <w:rPr>
                <w:b/>
                <w:color w:val="auto"/>
                <w:szCs w:val="21"/>
              </w:rPr>
              <w:t>气</w:t>
            </w:r>
          </w:p>
          <w:p>
            <w:pPr>
              <w:snapToGrid w:val="0"/>
              <w:spacing w:line="216" w:lineRule="auto"/>
              <w:jc w:val="center"/>
              <w:rPr>
                <w:b/>
                <w:color w:val="auto"/>
                <w:szCs w:val="21"/>
              </w:rPr>
            </w:pPr>
            <w:r>
              <w:rPr>
                <w:b/>
                <w:color w:val="auto"/>
                <w:szCs w:val="21"/>
              </w:rPr>
              <w:t>污</w:t>
            </w:r>
          </w:p>
          <w:p>
            <w:pPr>
              <w:snapToGrid w:val="0"/>
              <w:spacing w:line="216" w:lineRule="auto"/>
              <w:jc w:val="center"/>
              <w:rPr>
                <w:b/>
                <w:color w:val="auto"/>
                <w:szCs w:val="21"/>
              </w:rPr>
            </w:pPr>
            <w:r>
              <w:rPr>
                <w:b/>
                <w:color w:val="auto"/>
                <w:szCs w:val="21"/>
              </w:rPr>
              <w:t>染</w:t>
            </w:r>
          </w:p>
          <w:p>
            <w:pPr>
              <w:snapToGrid w:val="0"/>
              <w:spacing w:line="216" w:lineRule="auto"/>
              <w:jc w:val="center"/>
              <w:rPr>
                <w:color w:val="auto"/>
                <w:szCs w:val="21"/>
              </w:rPr>
            </w:pPr>
            <w:r>
              <w:rPr>
                <w:b/>
                <w:color w:val="auto"/>
                <w:szCs w:val="21"/>
              </w:rPr>
              <w:t>物</w:t>
            </w:r>
          </w:p>
        </w:tc>
        <w:tc>
          <w:tcPr>
            <w:tcW w:w="709" w:type="dxa"/>
            <w:vMerge w:val="restart"/>
            <w:tcBorders>
              <w:top w:val="nil"/>
              <w:left w:val="single" w:color="auto" w:sz="4" w:space="0"/>
              <w:right w:val="single" w:color="auto" w:sz="4" w:space="0"/>
            </w:tcBorders>
            <w:vAlign w:val="center"/>
          </w:tcPr>
          <w:p>
            <w:pPr>
              <w:tabs>
                <w:tab w:val="left" w:pos="-83"/>
              </w:tabs>
              <w:snapToGrid w:val="0"/>
              <w:ind w:right="-105" w:rightChars="-50"/>
              <w:jc w:val="center"/>
              <w:rPr>
                <w:color w:val="auto"/>
                <w:szCs w:val="21"/>
              </w:rPr>
            </w:pPr>
            <w:r>
              <w:rPr>
                <w:color w:val="auto"/>
                <w:szCs w:val="21"/>
              </w:rPr>
              <w:t>运营期</w:t>
            </w:r>
          </w:p>
        </w:tc>
        <w:tc>
          <w:tcPr>
            <w:tcW w:w="1125" w:type="dxa"/>
            <w:vMerge w:val="restart"/>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生产区</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制砂生产线</w:t>
            </w:r>
            <w:r>
              <w:rPr>
                <w:rFonts w:hint="eastAsia"/>
                <w:color w:val="auto"/>
                <w:szCs w:val="21"/>
              </w:rPr>
              <w:t>粉</w:t>
            </w:r>
            <w:r>
              <w:rPr>
                <w:color w:val="auto"/>
                <w:szCs w:val="21"/>
              </w:rPr>
              <w:t>尘</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2342 mg/m</w:t>
            </w:r>
            <w:r>
              <w:rPr>
                <w:color w:val="auto"/>
                <w:szCs w:val="21"/>
                <w:vertAlign w:val="superscript"/>
              </w:rPr>
              <w:t>3</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371t/a</w:t>
            </w:r>
          </w:p>
        </w:tc>
        <w:tc>
          <w:tcPr>
            <w:tcW w:w="1248" w:type="dxa"/>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2.34 mg/m</w:t>
            </w:r>
            <w:r>
              <w:rPr>
                <w:color w:val="auto"/>
                <w:szCs w:val="21"/>
                <w:vertAlign w:val="superscript"/>
              </w:rPr>
              <w:t>3</w:t>
            </w:r>
          </w:p>
        </w:tc>
        <w:tc>
          <w:tcPr>
            <w:tcW w:w="1249" w:type="dxa"/>
            <w:gridSpan w:val="2"/>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0.37</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79"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tabs>
                <w:tab w:val="left" w:pos="-83"/>
              </w:tabs>
              <w:snapToGrid w:val="0"/>
              <w:ind w:right="105" w:rightChars="50"/>
              <w:jc w:val="center"/>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沙</w:t>
            </w:r>
            <w:r>
              <w:rPr>
                <w:rFonts w:hint="eastAsia"/>
                <w:color w:val="auto"/>
                <w:szCs w:val="21"/>
              </w:rPr>
              <w:t>、石</w:t>
            </w:r>
            <w:r>
              <w:rPr>
                <w:color w:val="auto"/>
                <w:szCs w:val="21"/>
              </w:rPr>
              <w:t>的装卸扬尘量</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1.53t/a</w:t>
            </w:r>
          </w:p>
        </w:tc>
        <w:tc>
          <w:tcPr>
            <w:tcW w:w="2497" w:type="dxa"/>
            <w:gridSpan w:val="3"/>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无组织排放，0.18t/a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1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沙石计量、投料粉尘</w:t>
            </w:r>
          </w:p>
        </w:tc>
        <w:tc>
          <w:tcPr>
            <w:tcW w:w="1285" w:type="dxa"/>
            <w:tcBorders>
              <w:top w:val="single" w:color="auto" w:sz="4" w:space="0"/>
              <w:left w:val="single" w:color="auto" w:sz="4" w:space="0"/>
              <w:right w:val="single" w:color="auto" w:sz="4" w:space="0"/>
            </w:tcBorders>
            <w:vAlign w:val="center"/>
          </w:tcPr>
          <w:p>
            <w:pPr>
              <w:jc w:val="center"/>
              <w:rPr>
                <w:color w:val="auto"/>
                <w:szCs w:val="21"/>
              </w:rPr>
            </w:pPr>
          </w:p>
        </w:tc>
        <w:tc>
          <w:tcPr>
            <w:tcW w:w="1134" w:type="dxa"/>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0.1t/a</w:t>
            </w:r>
          </w:p>
        </w:tc>
        <w:tc>
          <w:tcPr>
            <w:tcW w:w="2497" w:type="dxa"/>
            <w:gridSpan w:val="3"/>
            <w:tcBorders>
              <w:top w:val="single" w:color="auto" w:sz="4" w:space="0"/>
              <w:left w:val="single" w:color="auto" w:sz="4" w:space="0"/>
            </w:tcBorders>
            <w:vAlign w:val="center"/>
          </w:tcPr>
          <w:p>
            <w:pPr>
              <w:jc w:val="center"/>
              <w:rPr>
                <w:color w:val="auto"/>
                <w:szCs w:val="21"/>
              </w:rPr>
            </w:pPr>
            <w:r>
              <w:rPr>
                <w:color w:val="auto"/>
                <w:szCs w:val="21"/>
              </w:rPr>
              <w:t>无组织排放，0.04t/a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水泥、粉煤灰筒库粉尘</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4543.5mg/m</w:t>
            </w:r>
            <w:r>
              <w:rPr>
                <w:color w:val="auto"/>
                <w:szCs w:val="21"/>
                <w:vertAlign w:val="superscript"/>
              </w:rPr>
              <w:t>3</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376.2t/a</w:t>
            </w:r>
          </w:p>
        </w:tc>
        <w:tc>
          <w:tcPr>
            <w:tcW w:w="1248" w:type="dxa"/>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4.54 mg/m</w:t>
            </w:r>
            <w:r>
              <w:rPr>
                <w:color w:val="auto"/>
                <w:szCs w:val="21"/>
                <w:vertAlign w:val="superscript"/>
              </w:rPr>
              <w:t>3</w:t>
            </w:r>
          </w:p>
        </w:tc>
        <w:tc>
          <w:tcPr>
            <w:tcW w:w="1249" w:type="dxa"/>
            <w:gridSpan w:val="2"/>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038t/a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搅拌系统产生的粉尘</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72 t/a</w:t>
            </w:r>
          </w:p>
        </w:tc>
        <w:tc>
          <w:tcPr>
            <w:tcW w:w="2497" w:type="dxa"/>
            <w:gridSpan w:val="3"/>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无组织排放，0.07 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bottom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运输车辆动力起尘</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0.36t/a</w:t>
            </w:r>
          </w:p>
        </w:tc>
        <w:tc>
          <w:tcPr>
            <w:tcW w:w="2497" w:type="dxa"/>
            <w:gridSpan w:val="3"/>
            <w:tcBorders>
              <w:top w:val="single" w:color="auto" w:sz="4" w:space="0"/>
              <w:left w:val="single" w:color="auto" w:sz="4" w:space="0"/>
              <w:bottom w:val="single" w:color="auto" w:sz="4" w:space="0"/>
            </w:tcBorders>
            <w:vAlign w:val="center"/>
          </w:tcPr>
          <w:p>
            <w:pPr>
              <w:jc w:val="center"/>
              <w:rPr>
                <w:color w:val="auto"/>
                <w:szCs w:val="21"/>
              </w:rPr>
            </w:pPr>
            <w:r>
              <w:rPr>
                <w:color w:val="auto"/>
                <w:szCs w:val="21"/>
              </w:rPr>
              <w:t>无组织排放，0.</w:t>
            </w:r>
            <w:r>
              <w:rPr>
                <w:rFonts w:hint="eastAsia"/>
                <w:color w:val="auto"/>
                <w:szCs w:val="21"/>
              </w:rPr>
              <w:t>0</w:t>
            </w:r>
            <w:r>
              <w:rPr>
                <w:color w:val="auto"/>
                <w:szCs w:val="21"/>
              </w:rPr>
              <w:t>5t/a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tcBorders>
              <w:left w:val="single" w:color="auto" w:sz="4" w:space="0"/>
              <w:right w:val="single" w:color="auto" w:sz="4" w:space="0"/>
            </w:tcBorders>
            <w:vAlign w:val="center"/>
          </w:tcPr>
          <w:p>
            <w:pPr>
              <w:widowControl/>
              <w:jc w:val="left"/>
              <w:rPr>
                <w:color w:val="auto"/>
                <w:szCs w:val="21"/>
              </w:rPr>
            </w:pPr>
          </w:p>
        </w:tc>
        <w:tc>
          <w:tcPr>
            <w:tcW w:w="1125" w:type="dxa"/>
            <w:vMerge w:val="restart"/>
            <w:tcBorders>
              <w:left w:val="single" w:color="auto" w:sz="4" w:space="0"/>
              <w:right w:val="single" w:color="auto" w:sz="4" w:space="0"/>
            </w:tcBorders>
            <w:vAlign w:val="center"/>
          </w:tcPr>
          <w:p>
            <w:pPr>
              <w:jc w:val="center"/>
              <w:rPr>
                <w:color w:val="auto"/>
                <w:szCs w:val="21"/>
              </w:rPr>
            </w:pPr>
            <w:r>
              <w:rPr>
                <w:color w:val="auto"/>
                <w:szCs w:val="21"/>
              </w:rPr>
              <w:t>备用发电机</w:t>
            </w: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SO</w:t>
            </w:r>
            <w:r>
              <w:rPr>
                <w:color w:val="auto"/>
                <w:szCs w:val="21"/>
                <w:vertAlign w:val="subscript"/>
              </w:rPr>
              <w:t>2</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197.98mg/m</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7.48kg/a</w:t>
            </w:r>
          </w:p>
        </w:tc>
        <w:tc>
          <w:tcPr>
            <w:tcW w:w="1248" w:type="dxa"/>
            <w:tcBorders>
              <w:top w:val="single" w:color="auto" w:sz="4" w:space="0"/>
              <w:left w:val="single" w:color="auto" w:sz="4" w:space="0"/>
              <w:bottom w:val="single" w:color="auto" w:sz="4" w:space="0"/>
            </w:tcBorders>
          </w:tcPr>
          <w:p>
            <w:pPr>
              <w:jc w:val="center"/>
              <w:rPr>
                <w:color w:val="auto"/>
              </w:rPr>
            </w:pPr>
            <w:r>
              <w:rPr>
                <w:color w:val="auto"/>
              </w:rPr>
              <w:t>98.99mg/m</w:t>
            </w:r>
          </w:p>
        </w:tc>
        <w:tc>
          <w:tcPr>
            <w:tcW w:w="1249" w:type="dxa"/>
            <w:gridSpan w:val="2"/>
            <w:tcBorders>
              <w:top w:val="single" w:color="auto" w:sz="4" w:space="0"/>
              <w:left w:val="single" w:color="auto" w:sz="4" w:space="0"/>
              <w:bottom w:val="single" w:color="auto" w:sz="4" w:space="0"/>
            </w:tcBorders>
          </w:tcPr>
          <w:p>
            <w:pPr>
              <w:jc w:val="center"/>
              <w:rPr>
                <w:color w:val="auto"/>
              </w:rPr>
            </w:pPr>
            <w:r>
              <w:rPr>
                <w:color w:val="auto"/>
              </w:rPr>
              <w:t>3.74kg/a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pStyle w:val="2"/>
              <w:ind w:firstLine="0" w:firstLineChars="0"/>
              <w:rPr>
                <w:color w:val="auto"/>
              </w:rPr>
            </w:pPr>
          </w:p>
        </w:tc>
        <w:tc>
          <w:tcPr>
            <w:tcW w:w="709" w:type="dxa"/>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NO</w:t>
            </w:r>
            <w:r>
              <w:rPr>
                <w:color w:val="auto"/>
                <w:szCs w:val="21"/>
                <w:vertAlign w:val="subscript"/>
              </w:rPr>
              <w:t>x</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148.6mg/m³</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5.63kg/a</w:t>
            </w:r>
          </w:p>
        </w:tc>
        <w:tc>
          <w:tcPr>
            <w:tcW w:w="1248" w:type="dxa"/>
            <w:tcBorders>
              <w:top w:val="single" w:color="auto" w:sz="4" w:space="0"/>
              <w:left w:val="single" w:color="auto" w:sz="4" w:space="0"/>
              <w:bottom w:val="single" w:color="auto" w:sz="4" w:space="0"/>
            </w:tcBorders>
          </w:tcPr>
          <w:p>
            <w:pPr>
              <w:jc w:val="center"/>
              <w:rPr>
                <w:color w:val="auto"/>
              </w:rPr>
            </w:pPr>
            <w:r>
              <w:rPr>
                <w:color w:val="auto"/>
              </w:rPr>
              <w:t>118.88mg/m³</w:t>
            </w:r>
          </w:p>
        </w:tc>
        <w:tc>
          <w:tcPr>
            <w:tcW w:w="1249" w:type="dxa"/>
            <w:gridSpan w:val="2"/>
            <w:tcBorders>
              <w:top w:val="single" w:color="auto" w:sz="4" w:space="0"/>
              <w:left w:val="single" w:color="auto" w:sz="4" w:space="0"/>
              <w:bottom w:val="single" w:color="auto" w:sz="4" w:space="0"/>
            </w:tcBorders>
          </w:tcPr>
          <w:p>
            <w:pPr>
              <w:jc w:val="center"/>
              <w:rPr>
                <w:color w:val="auto"/>
              </w:rPr>
            </w:pPr>
            <w:r>
              <w:rPr>
                <w:color w:val="auto"/>
              </w:rPr>
              <w:t>4.50kg/a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烟尘</w:t>
            </w:r>
          </w:p>
        </w:tc>
        <w:tc>
          <w:tcPr>
            <w:tcW w:w="1285"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41.59mg/m³</w:t>
            </w:r>
          </w:p>
        </w:tc>
        <w:tc>
          <w:tcPr>
            <w:tcW w:w="1134" w:type="dxa"/>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szCs w:val="21"/>
              </w:rPr>
              <w:t>1.57kg/a</w:t>
            </w:r>
          </w:p>
        </w:tc>
        <w:tc>
          <w:tcPr>
            <w:tcW w:w="1248" w:type="dxa"/>
            <w:tcBorders>
              <w:top w:val="single" w:color="auto" w:sz="4" w:space="0"/>
              <w:left w:val="single" w:color="auto" w:sz="4" w:space="0"/>
              <w:bottom w:val="single" w:color="auto" w:sz="4" w:space="0"/>
            </w:tcBorders>
          </w:tcPr>
          <w:p>
            <w:pPr>
              <w:jc w:val="center"/>
              <w:rPr>
                <w:color w:val="auto"/>
              </w:rPr>
            </w:pPr>
            <w:r>
              <w:rPr>
                <w:color w:val="auto"/>
              </w:rPr>
              <w:t>16.64mg/m³</w:t>
            </w:r>
          </w:p>
        </w:tc>
        <w:tc>
          <w:tcPr>
            <w:tcW w:w="1249" w:type="dxa"/>
            <w:gridSpan w:val="2"/>
            <w:tcBorders>
              <w:top w:val="single" w:color="auto" w:sz="4" w:space="0"/>
              <w:left w:val="single" w:color="auto" w:sz="4" w:space="0"/>
              <w:bottom w:val="single" w:color="auto" w:sz="4" w:space="0"/>
            </w:tcBorders>
          </w:tcPr>
          <w:p>
            <w:pPr>
              <w:jc w:val="center"/>
              <w:rPr>
                <w:color w:val="auto"/>
              </w:rPr>
            </w:pPr>
            <w:r>
              <w:rPr>
                <w:color w:val="auto"/>
              </w:rPr>
              <w:t>0.63kg/a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40" w:hRule="atLeast"/>
          <w:jc w:val="center"/>
        </w:trPr>
        <w:tc>
          <w:tcPr>
            <w:tcW w:w="855" w:type="dxa"/>
            <w:vMerge w:val="continue"/>
            <w:tcBorders>
              <w:bottom w:val="single" w:color="auto" w:sz="4" w:space="0"/>
              <w:right w:val="single" w:color="auto" w:sz="4" w:space="0"/>
            </w:tcBorders>
            <w:vAlign w:val="center"/>
          </w:tcPr>
          <w:p>
            <w:pPr>
              <w:widowControl/>
              <w:jc w:val="left"/>
              <w:rPr>
                <w:color w:val="auto"/>
                <w:szCs w:val="21"/>
              </w:rPr>
            </w:pPr>
          </w:p>
        </w:tc>
        <w:tc>
          <w:tcPr>
            <w:tcW w:w="709" w:type="dxa"/>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left w:val="single" w:color="auto" w:sz="4" w:space="0"/>
              <w:bottom w:val="single" w:color="auto" w:sz="4" w:space="0"/>
              <w:right w:val="single" w:color="auto" w:sz="4" w:space="0"/>
            </w:tcBorders>
            <w:vAlign w:val="center"/>
          </w:tcPr>
          <w:p>
            <w:pPr>
              <w:jc w:val="center"/>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bCs/>
                <w:color w:val="auto"/>
                <w:szCs w:val="21"/>
              </w:rPr>
            </w:pPr>
            <w:r>
              <w:rPr>
                <w:bCs/>
                <w:color w:val="auto"/>
                <w:szCs w:val="21"/>
              </w:rPr>
              <w:t>CO</w:t>
            </w:r>
          </w:p>
        </w:tc>
        <w:tc>
          <w:tcPr>
            <w:tcW w:w="1285" w:type="dxa"/>
            <w:tcBorders>
              <w:top w:val="single" w:color="auto" w:sz="4" w:space="0"/>
              <w:left w:val="single" w:color="auto" w:sz="4" w:space="0"/>
              <w:bottom w:val="single" w:color="auto" w:sz="4" w:space="0"/>
              <w:right w:val="single" w:color="auto" w:sz="4" w:space="0"/>
            </w:tcBorders>
            <w:vAlign w:val="center"/>
          </w:tcPr>
          <w:p>
            <w:pPr>
              <w:widowControl/>
              <w:jc w:val="center"/>
              <w:rPr>
                <w:color w:val="auto"/>
                <w:kern w:val="24"/>
                <w:szCs w:val="21"/>
              </w:rPr>
            </w:pPr>
            <w:r>
              <w:rPr>
                <w:color w:val="auto"/>
                <w:szCs w:val="21"/>
              </w:rPr>
              <w:t>88.47mg/m³</w:t>
            </w:r>
          </w:p>
        </w:tc>
        <w:tc>
          <w:tcPr>
            <w:tcW w:w="1134" w:type="dxa"/>
            <w:tcBorders>
              <w:top w:val="single" w:color="auto" w:sz="4" w:space="0"/>
              <w:left w:val="single" w:color="auto" w:sz="4" w:space="0"/>
              <w:bottom w:val="single" w:color="auto" w:sz="4" w:space="0"/>
              <w:right w:val="single" w:color="auto" w:sz="4" w:space="0"/>
            </w:tcBorders>
            <w:vAlign w:val="center"/>
          </w:tcPr>
          <w:p>
            <w:pPr>
              <w:widowControl/>
              <w:jc w:val="center"/>
              <w:rPr>
                <w:color w:val="auto"/>
                <w:kern w:val="24"/>
                <w:szCs w:val="21"/>
              </w:rPr>
            </w:pPr>
            <w:r>
              <w:rPr>
                <w:color w:val="auto"/>
                <w:szCs w:val="21"/>
              </w:rPr>
              <w:t>3.34kg/a</w:t>
            </w:r>
          </w:p>
        </w:tc>
        <w:tc>
          <w:tcPr>
            <w:tcW w:w="1248" w:type="dxa"/>
            <w:tcBorders>
              <w:top w:val="single" w:color="auto" w:sz="4" w:space="0"/>
              <w:left w:val="single" w:color="auto" w:sz="4" w:space="0"/>
              <w:bottom w:val="single" w:color="auto" w:sz="4" w:space="0"/>
            </w:tcBorders>
          </w:tcPr>
          <w:p>
            <w:pPr>
              <w:jc w:val="center"/>
              <w:rPr>
                <w:color w:val="auto"/>
              </w:rPr>
            </w:pPr>
            <w:r>
              <w:rPr>
                <w:color w:val="auto"/>
              </w:rPr>
              <w:t>70.78mg/m³</w:t>
            </w:r>
          </w:p>
        </w:tc>
        <w:tc>
          <w:tcPr>
            <w:tcW w:w="1249" w:type="dxa"/>
            <w:gridSpan w:val="2"/>
            <w:tcBorders>
              <w:top w:val="single" w:color="auto" w:sz="4" w:space="0"/>
              <w:left w:val="single" w:color="auto" w:sz="4" w:space="0"/>
              <w:bottom w:val="single" w:color="auto" w:sz="4" w:space="0"/>
            </w:tcBorders>
          </w:tcPr>
          <w:p>
            <w:pPr>
              <w:jc w:val="center"/>
              <w:rPr>
                <w:color w:val="auto"/>
              </w:rPr>
            </w:pPr>
            <w:r>
              <w:rPr>
                <w:color w:val="auto"/>
              </w:rPr>
              <w:t>2.67kg/a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restart"/>
            <w:tcBorders>
              <w:top w:val="single" w:color="auto" w:sz="4" w:space="0"/>
              <w:right w:val="single" w:color="auto" w:sz="4" w:space="0"/>
            </w:tcBorders>
            <w:vAlign w:val="center"/>
          </w:tcPr>
          <w:p>
            <w:pPr>
              <w:snapToGrid w:val="0"/>
              <w:spacing w:line="216" w:lineRule="auto"/>
              <w:jc w:val="center"/>
              <w:rPr>
                <w:b/>
                <w:color w:val="auto"/>
                <w:szCs w:val="21"/>
              </w:rPr>
            </w:pPr>
            <w:r>
              <w:rPr>
                <w:b/>
                <w:color w:val="auto"/>
                <w:szCs w:val="21"/>
              </w:rPr>
              <w:t>水</w:t>
            </w:r>
          </w:p>
          <w:p>
            <w:pPr>
              <w:snapToGrid w:val="0"/>
              <w:spacing w:line="216" w:lineRule="auto"/>
              <w:jc w:val="center"/>
              <w:rPr>
                <w:b/>
                <w:color w:val="auto"/>
                <w:szCs w:val="21"/>
              </w:rPr>
            </w:pPr>
            <w:r>
              <w:rPr>
                <w:b/>
                <w:color w:val="auto"/>
                <w:szCs w:val="21"/>
              </w:rPr>
              <w:t>污</w:t>
            </w:r>
          </w:p>
          <w:p>
            <w:pPr>
              <w:snapToGrid w:val="0"/>
              <w:spacing w:line="216" w:lineRule="auto"/>
              <w:jc w:val="center"/>
              <w:rPr>
                <w:b/>
                <w:color w:val="auto"/>
                <w:szCs w:val="21"/>
              </w:rPr>
            </w:pPr>
            <w:r>
              <w:rPr>
                <w:b/>
                <w:color w:val="auto"/>
                <w:szCs w:val="21"/>
              </w:rPr>
              <w:t>染</w:t>
            </w:r>
          </w:p>
          <w:p>
            <w:pPr>
              <w:snapToGrid w:val="0"/>
              <w:spacing w:line="216" w:lineRule="auto"/>
              <w:jc w:val="center"/>
              <w:rPr>
                <w:color w:val="auto"/>
                <w:szCs w:val="21"/>
              </w:rPr>
            </w:pPr>
            <w:r>
              <w:rPr>
                <w:b/>
                <w:color w:val="auto"/>
                <w:szCs w:val="21"/>
              </w:rPr>
              <w:t>物</w:t>
            </w:r>
          </w:p>
        </w:tc>
        <w:tc>
          <w:tcPr>
            <w:tcW w:w="709" w:type="dxa"/>
            <w:vMerge w:val="restart"/>
            <w:tcBorders>
              <w:top w:val="single" w:color="auto" w:sz="4" w:space="0"/>
              <w:left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运营期</w:t>
            </w:r>
          </w:p>
        </w:tc>
        <w:tc>
          <w:tcPr>
            <w:tcW w:w="1125" w:type="dxa"/>
            <w:vMerge w:val="restart"/>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生活污水</w:t>
            </w:r>
          </w:p>
          <w:p>
            <w:pPr>
              <w:tabs>
                <w:tab w:val="left" w:pos="-83"/>
              </w:tabs>
              <w:snapToGrid w:val="0"/>
              <w:ind w:left="105" w:leftChars="50" w:right="105" w:rightChars="50"/>
              <w:jc w:val="center"/>
              <w:rPr>
                <w:color w:val="auto"/>
                <w:szCs w:val="21"/>
              </w:rPr>
            </w:pPr>
            <w:r>
              <w:rPr>
                <w:rFonts w:hint="eastAsia"/>
                <w:color w:val="auto"/>
                <w:szCs w:val="21"/>
              </w:rPr>
              <w:t>(</w:t>
            </w:r>
            <w:r>
              <w:rPr>
                <w:color w:val="auto"/>
                <w:szCs w:val="21"/>
              </w:rPr>
              <w:t>499t/a)</w:t>
            </w: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COD</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250mg/l</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0.125t</w:t>
            </w:r>
          </w:p>
        </w:tc>
        <w:tc>
          <w:tcPr>
            <w:tcW w:w="1276" w:type="dxa"/>
            <w:gridSpan w:val="2"/>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200mg/L</w:t>
            </w:r>
          </w:p>
        </w:tc>
        <w:tc>
          <w:tcPr>
            <w:tcW w:w="1221" w:type="dxa"/>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0.099t/a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 xml:space="preserve">BOD </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150mg/l</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0.075t</w:t>
            </w:r>
          </w:p>
        </w:tc>
        <w:tc>
          <w:tcPr>
            <w:tcW w:w="1276" w:type="dxa"/>
            <w:gridSpan w:val="2"/>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20mg/L</w:t>
            </w:r>
          </w:p>
        </w:tc>
        <w:tc>
          <w:tcPr>
            <w:tcW w:w="1221" w:type="dxa"/>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0.01t/a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SS</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200mg/l</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0.099t</w:t>
            </w:r>
          </w:p>
        </w:tc>
        <w:tc>
          <w:tcPr>
            <w:tcW w:w="1276" w:type="dxa"/>
            <w:gridSpan w:val="2"/>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150mg/L</w:t>
            </w:r>
          </w:p>
        </w:tc>
        <w:tc>
          <w:tcPr>
            <w:tcW w:w="1221" w:type="dxa"/>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0.075t/a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auto"/>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NH</w:t>
            </w:r>
            <w:r>
              <w:rPr>
                <w:color w:val="auto"/>
                <w:szCs w:val="21"/>
                <w:vertAlign w:val="subscript"/>
              </w:rPr>
              <w:t>3</w:t>
            </w:r>
            <w:r>
              <w:rPr>
                <w:color w:val="auto"/>
                <w:szCs w:val="21"/>
              </w:rPr>
              <w:t>-N</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25mg/l</w:t>
            </w: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ind w:left="105" w:leftChars="50" w:right="105" w:rightChars="50"/>
              <w:jc w:val="center"/>
              <w:rPr>
                <w:color w:val="auto"/>
                <w:szCs w:val="21"/>
              </w:rPr>
            </w:pPr>
            <w:r>
              <w:rPr>
                <w:color w:val="auto"/>
                <w:szCs w:val="21"/>
              </w:rPr>
              <w:t>0.013t</w:t>
            </w:r>
          </w:p>
        </w:tc>
        <w:tc>
          <w:tcPr>
            <w:tcW w:w="1276" w:type="dxa"/>
            <w:gridSpan w:val="2"/>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20mg/L</w:t>
            </w:r>
          </w:p>
        </w:tc>
        <w:tc>
          <w:tcPr>
            <w:tcW w:w="1221" w:type="dxa"/>
            <w:tcBorders>
              <w:top w:val="single" w:color="auto" w:sz="4" w:space="0"/>
              <w:left w:val="single" w:color="auto" w:sz="4" w:space="0"/>
              <w:bottom w:val="single" w:color="auto" w:sz="4" w:space="0"/>
            </w:tcBorders>
            <w:vAlign w:val="center"/>
          </w:tcPr>
          <w:p>
            <w:pPr>
              <w:snapToGrid w:val="0"/>
              <w:ind w:left="105" w:leftChars="50" w:right="105" w:rightChars="50"/>
              <w:jc w:val="center"/>
              <w:rPr>
                <w:color w:val="auto"/>
                <w:szCs w:val="21"/>
              </w:rPr>
            </w:pPr>
            <w:r>
              <w:rPr>
                <w:color w:val="auto"/>
                <w:szCs w:val="21"/>
              </w:rPr>
              <w:t>0.01t/a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673" w:hRule="atLeast"/>
          <w:jc w:val="center"/>
        </w:trPr>
        <w:tc>
          <w:tcPr>
            <w:tcW w:w="855" w:type="dxa"/>
            <w:vMerge w:val="continue"/>
            <w:tcBorders>
              <w:bottom w:val="single" w:color="auto" w:sz="4" w:space="0"/>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widowControl/>
              <w:jc w:val="left"/>
              <w:rPr>
                <w:color w:val="auto"/>
                <w:szCs w:val="21"/>
              </w:rPr>
            </w:pPr>
          </w:p>
        </w:tc>
        <w:tc>
          <w:tcPr>
            <w:tcW w:w="1125" w:type="dxa"/>
            <w:tcBorders>
              <w:top w:val="single" w:color="auto" w:sz="4" w:space="0"/>
              <w:left w:val="single" w:color="auto" w:sz="4" w:space="0"/>
              <w:right w:val="single" w:color="auto" w:sz="4" w:space="0"/>
            </w:tcBorders>
            <w:vAlign w:val="center"/>
          </w:tcPr>
          <w:p>
            <w:pPr>
              <w:widowControl/>
              <w:adjustRightInd w:val="0"/>
              <w:snapToGrid w:val="0"/>
              <w:jc w:val="center"/>
              <w:rPr>
                <w:color w:val="auto"/>
                <w:szCs w:val="21"/>
              </w:rPr>
            </w:pPr>
            <w:r>
              <w:rPr>
                <w:rFonts w:hint="eastAsia"/>
                <w:color w:val="auto"/>
                <w:szCs w:val="21"/>
              </w:rPr>
              <w:t>生</w:t>
            </w:r>
            <w:r>
              <w:rPr>
                <w:color w:val="auto"/>
                <w:szCs w:val="21"/>
              </w:rPr>
              <w:t>产废水</w:t>
            </w:r>
          </w:p>
          <w:p>
            <w:pPr>
              <w:pStyle w:val="68"/>
              <w:ind w:firstLine="0" w:firstLineChars="0"/>
              <w:rPr>
                <w:rFonts w:cs="Times New Roman"/>
                <w:color w:val="auto"/>
                <w:sz w:val="21"/>
                <w:szCs w:val="21"/>
              </w:rPr>
            </w:pPr>
            <w:r>
              <w:rPr>
                <w:rFonts w:hint="eastAsia" w:cs="Times New Roman"/>
                <w:color w:val="auto"/>
                <w:sz w:val="21"/>
                <w:szCs w:val="21"/>
              </w:rPr>
              <w:t>（</w:t>
            </w:r>
            <w:r>
              <w:rPr>
                <w:rFonts w:cs="Times New Roman"/>
                <w:color w:val="auto"/>
                <w:sz w:val="21"/>
                <w:szCs w:val="21"/>
              </w:rPr>
              <w:t>5217.3t/a)</w:t>
            </w:r>
          </w:p>
        </w:tc>
        <w:tc>
          <w:tcPr>
            <w:tcW w:w="2126" w:type="dxa"/>
            <w:tcBorders>
              <w:top w:val="single" w:color="auto" w:sz="4" w:space="0"/>
              <w:left w:val="single" w:color="auto" w:sz="4" w:space="0"/>
              <w:right w:val="single" w:color="auto" w:sz="4" w:space="0"/>
            </w:tcBorders>
            <w:vAlign w:val="center"/>
          </w:tcPr>
          <w:p>
            <w:pPr>
              <w:adjustRightInd w:val="0"/>
              <w:snapToGrid w:val="0"/>
              <w:jc w:val="center"/>
              <w:rPr>
                <w:color w:val="auto"/>
                <w:szCs w:val="21"/>
              </w:rPr>
            </w:pPr>
            <w:r>
              <w:rPr>
                <w:color w:val="auto"/>
                <w:szCs w:val="21"/>
              </w:rPr>
              <w:t>SS</w:t>
            </w:r>
          </w:p>
        </w:tc>
        <w:tc>
          <w:tcPr>
            <w:tcW w:w="1285" w:type="dxa"/>
            <w:tcBorders>
              <w:top w:val="single" w:color="auto" w:sz="4" w:space="0"/>
              <w:left w:val="single" w:color="auto" w:sz="4" w:space="0"/>
              <w:bottom w:val="single" w:color="auto" w:sz="4" w:space="0"/>
              <w:right w:val="single" w:color="auto" w:sz="4" w:space="0"/>
            </w:tcBorders>
            <w:vAlign w:val="center"/>
          </w:tcPr>
          <w:p>
            <w:pPr>
              <w:pStyle w:val="14"/>
              <w:adjustRightInd w:val="0"/>
              <w:snapToGrid w:val="0"/>
              <w:jc w:val="center"/>
              <w:rPr>
                <w:color w:val="auto"/>
                <w:sz w:val="21"/>
                <w:szCs w:val="21"/>
              </w:rPr>
            </w:pPr>
            <w:r>
              <w:rPr>
                <w:bCs/>
                <w:color w:val="auto"/>
                <w:sz w:val="21"/>
                <w:szCs w:val="21"/>
              </w:rPr>
              <w:t>3000mg/L</w:t>
            </w: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jc w:val="center"/>
              <w:rPr>
                <w:color w:val="auto"/>
                <w:szCs w:val="21"/>
              </w:rPr>
            </w:pPr>
            <w:r>
              <w:rPr>
                <w:bCs/>
                <w:color w:val="auto"/>
                <w:szCs w:val="21"/>
              </w:rPr>
              <w:t>15.7t/a</w:t>
            </w:r>
          </w:p>
        </w:tc>
        <w:tc>
          <w:tcPr>
            <w:tcW w:w="1248" w:type="dxa"/>
            <w:tcBorders>
              <w:top w:val="single" w:color="auto" w:sz="4" w:space="0"/>
              <w:left w:val="single" w:color="auto" w:sz="4" w:space="0"/>
            </w:tcBorders>
            <w:vAlign w:val="center"/>
          </w:tcPr>
          <w:p>
            <w:pPr>
              <w:widowControl/>
              <w:adjustRightInd w:val="0"/>
              <w:snapToGrid w:val="0"/>
              <w:jc w:val="center"/>
              <w:rPr>
                <w:color w:val="auto"/>
                <w:szCs w:val="21"/>
              </w:rPr>
            </w:pPr>
            <w:r>
              <w:rPr>
                <w:bCs/>
                <w:color w:val="auto"/>
                <w:szCs w:val="21"/>
              </w:rPr>
              <w:t>300mg/L</w:t>
            </w:r>
          </w:p>
        </w:tc>
        <w:tc>
          <w:tcPr>
            <w:tcW w:w="1249" w:type="dxa"/>
            <w:gridSpan w:val="2"/>
            <w:tcBorders>
              <w:top w:val="single" w:color="auto" w:sz="4" w:space="0"/>
              <w:left w:val="single" w:color="auto" w:sz="4" w:space="0"/>
            </w:tcBorders>
            <w:vAlign w:val="center"/>
          </w:tcPr>
          <w:p>
            <w:pPr>
              <w:widowControl/>
              <w:adjustRightInd w:val="0"/>
              <w:snapToGrid w:val="0"/>
              <w:jc w:val="center"/>
              <w:rPr>
                <w:color w:val="auto"/>
                <w:szCs w:val="21"/>
              </w:rPr>
            </w:pPr>
            <w:r>
              <w:rPr>
                <w:bCs/>
                <w:color w:val="auto"/>
                <w:szCs w:val="21"/>
              </w:rPr>
              <w:t>1.57t/a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367" w:hRule="atLeast"/>
          <w:jc w:val="center"/>
        </w:trPr>
        <w:tc>
          <w:tcPr>
            <w:tcW w:w="855" w:type="dxa"/>
            <w:vMerge w:val="restart"/>
            <w:tcBorders>
              <w:top w:val="single" w:color="auto" w:sz="4" w:space="0"/>
              <w:right w:val="single" w:color="auto" w:sz="4" w:space="0"/>
            </w:tcBorders>
            <w:vAlign w:val="center"/>
          </w:tcPr>
          <w:p>
            <w:pPr>
              <w:snapToGrid w:val="0"/>
              <w:spacing w:line="216" w:lineRule="auto"/>
              <w:jc w:val="center"/>
              <w:rPr>
                <w:b/>
                <w:color w:val="auto"/>
                <w:szCs w:val="21"/>
              </w:rPr>
            </w:pPr>
            <w:r>
              <w:rPr>
                <w:b/>
                <w:color w:val="auto"/>
                <w:szCs w:val="21"/>
              </w:rPr>
              <w:t>固</w:t>
            </w:r>
          </w:p>
          <w:p>
            <w:pPr>
              <w:snapToGrid w:val="0"/>
              <w:spacing w:line="216" w:lineRule="auto"/>
              <w:jc w:val="center"/>
              <w:rPr>
                <w:b/>
                <w:color w:val="auto"/>
                <w:szCs w:val="21"/>
              </w:rPr>
            </w:pPr>
            <w:r>
              <w:rPr>
                <w:b/>
                <w:color w:val="auto"/>
                <w:szCs w:val="21"/>
              </w:rPr>
              <w:t>体</w:t>
            </w:r>
          </w:p>
          <w:p>
            <w:pPr>
              <w:snapToGrid w:val="0"/>
              <w:spacing w:line="216" w:lineRule="auto"/>
              <w:jc w:val="center"/>
              <w:rPr>
                <w:b/>
                <w:color w:val="auto"/>
                <w:szCs w:val="21"/>
              </w:rPr>
            </w:pPr>
            <w:r>
              <w:rPr>
                <w:b/>
                <w:color w:val="auto"/>
                <w:szCs w:val="21"/>
              </w:rPr>
              <w:t>废</w:t>
            </w:r>
          </w:p>
          <w:p>
            <w:pPr>
              <w:snapToGrid w:val="0"/>
              <w:spacing w:line="216" w:lineRule="auto"/>
              <w:jc w:val="center"/>
              <w:rPr>
                <w:color w:val="auto"/>
                <w:szCs w:val="21"/>
              </w:rPr>
            </w:pPr>
            <w:r>
              <w:rPr>
                <w:b/>
                <w:color w:val="auto"/>
                <w:szCs w:val="21"/>
              </w:rPr>
              <w:t>物</w:t>
            </w:r>
          </w:p>
        </w:tc>
        <w:tc>
          <w:tcPr>
            <w:tcW w:w="709" w:type="dxa"/>
            <w:vMerge w:val="restart"/>
            <w:tcBorders>
              <w:top w:val="single" w:color="auto" w:sz="4" w:space="0"/>
              <w:left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运营期</w:t>
            </w:r>
          </w:p>
        </w:tc>
        <w:tc>
          <w:tcPr>
            <w:tcW w:w="1125" w:type="dxa"/>
            <w:vMerge w:val="restart"/>
            <w:tcBorders>
              <w:top w:val="single" w:color="auto" w:sz="4" w:space="0"/>
              <w:left w:val="single" w:color="auto" w:sz="4" w:space="0"/>
              <w:right w:val="single" w:color="auto" w:sz="4" w:space="0"/>
            </w:tcBorders>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一般工业</w:t>
            </w:r>
          </w:p>
          <w:p>
            <w:pPr>
              <w:pStyle w:val="81"/>
              <w:rPr>
                <w:rFonts w:ascii="Times New Roman" w:hAnsi="Times New Roman"/>
                <w:color w:val="auto"/>
                <w:sz w:val="21"/>
                <w:szCs w:val="21"/>
              </w:rPr>
            </w:pPr>
            <w:r>
              <w:rPr>
                <w:rFonts w:ascii="Times New Roman" w:hAnsi="Times New Roman"/>
                <w:color w:val="auto"/>
                <w:kern w:val="2"/>
                <w:sz w:val="21"/>
                <w:szCs w:val="21"/>
              </w:rPr>
              <w:t>固废</w:t>
            </w:r>
          </w:p>
        </w:tc>
        <w:tc>
          <w:tcPr>
            <w:tcW w:w="2126" w:type="dxa"/>
            <w:tcBorders>
              <w:top w:val="single" w:color="auto" w:sz="4" w:space="0"/>
              <w:left w:val="single" w:color="auto" w:sz="4" w:space="0"/>
              <w:right w:val="single" w:color="auto" w:sz="4" w:space="0"/>
            </w:tcBorders>
            <w:vAlign w:val="center"/>
          </w:tcPr>
          <w:p>
            <w:pPr>
              <w:jc w:val="center"/>
              <w:rPr>
                <w:color w:val="auto"/>
                <w:szCs w:val="21"/>
              </w:rPr>
            </w:pPr>
            <w:r>
              <w:rPr>
                <w:bCs/>
                <w:color w:val="auto"/>
                <w:szCs w:val="21"/>
              </w:rPr>
              <w:t>沉淀</w:t>
            </w:r>
            <w:r>
              <w:rPr>
                <w:rFonts w:hint="eastAsia"/>
                <w:bCs/>
                <w:color w:val="auto"/>
                <w:szCs w:val="21"/>
              </w:rPr>
              <w:t>池沉渣</w:t>
            </w:r>
          </w:p>
        </w:tc>
        <w:tc>
          <w:tcPr>
            <w:tcW w:w="1285" w:type="dxa"/>
            <w:tcBorders>
              <w:top w:val="single" w:color="auto" w:sz="4" w:space="0"/>
              <w:left w:val="single" w:color="auto" w:sz="4" w:space="0"/>
              <w:right w:val="single" w:color="auto" w:sz="4" w:space="0"/>
            </w:tcBorders>
            <w:vAlign w:val="center"/>
          </w:tcPr>
          <w:p>
            <w:pPr>
              <w:jc w:val="center"/>
              <w:rPr>
                <w:color w:val="auto"/>
                <w:szCs w:val="21"/>
              </w:rPr>
            </w:pPr>
          </w:p>
        </w:tc>
        <w:tc>
          <w:tcPr>
            <w:tcW w:w="1134" w:type="dxa"/>
            <w:tcBorders>
              <w:top w:val="single" w:color="auto" w:sz="4" w:space="0"/>
              <w:left w:val="single" w:color="auto" w:sz="4" w:space="0"/>
              <w:right w:val="single" w:color="auto" w:sz="4" w:space="0"/>
            </w:tcBorders>
            <w:vAlign w:val="center"/>
          </w:tcPr>
          <w:p>
            <w:pPr>
              <w:jc w:val="center"/>
              <w:rPr>
                <w:color w:val="auto"/>
                <w:szCs w:val="21"/>
              </w:rPr>
            </w:pPr>
            <w:r>
              <w:rPr>
                <w:color w:val="auto"/>
                <w:szCs w:val="21"/>
              </w:rPr>
              <w:t>14.13 t/a</w:t>
            </w:r>
          </w:p>
        </w:tc>
        <w:tc>
          <w:tcPr>
            <w:tcW w:w="2497" w:type="dxa"/>
            <w:gridSpan w:val="3"/>
            <w:vMerge w:val="restart"/>
            <w:tcBorders>
              <w:top w:val="single" w:color="auto" w:sz="4" w:space="0"/>
              <w:left w:val="single" w:color="auto" w:sz="4" w:space="0"/>
            </w:tcBorders>
            <w:vAlign w:val="center"/>
          </w:tcPr>
          <w:p>
            <w:pPr>
              <w:jc w:val="center"/>
              <w:rPr>
                <w:color w:val="auto"/>
                <w:szCs w:val="21"/>
              </w:rPr>
            </w:pPr>
            <w:r>
              <w:rPr>
                <w:snapToGrid w:val="0"/>
                <w:color w:val="auto"/>
                <w:kern w:val="0"/>
                <w:szCs w:val="21"/>
              </w:rPr>
              <w:t>收集后回用于生产</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415" w:hRule="atLeast"/>
          <w:jc w:val="center"/>
        </w:trPr>
        <w:tc>
          <w:tcPr>
            <w:tcW w:w="855" w:type="dxa"/>
            <w:vMerge w:val="continue"/>
            <w:tcBorders>
              <w:bottom w:val="single" w:color="auto" w:sz="6" w:space="0"/>
              <w:right w:val="single" w:color="auto" w:sz="4" w:space="0"/>
            </w:tcBorders>
            <w:vAlign w:val="center"/>
          </w:tcPr>
          <w:p>
            <w:pPr>
              <w:widowControl/>
              <w:jc w:val="left"/>
              <w:rPr>
                <w:color w:val="auto"/>
                <w:szCs w:val="21"/>
              </w:rPr>
            </w:pPr>
          </w:p>
        </w:tc>
        <w:tc>
          <w:tcPr>
            <w:tcW w:w="709" w:type="dxa"/>
            <w:vMerge w:val="continue"/>
            <w:tcBorders>
              <w:left w:val="single" w:color="auto" w:sz="4" w:space="0"/>
              <w:bottom w:val="single" w:color="auto" w:sz="6" w:space="0"/>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vMerge w:val="continue"/>
            <w:tcBorders>
              <w:left w:val="single" w:color="auto" w:sz="4" w:space="0"/>
              <w:right w:val="single" w:color="auto" w:sz="4" w:space="0"/>
            </w:tcBorders>
            <w:vAlign w:val="center"/>
          </w:tcPr>
          <w:p>
            <w:pPr>
              <w:pStyle w:val="81"/>
              <w:rPr>
                <w:rFonts w:ascii="Times New Roman" w:hAnsi="Times New Roman"/>
                <w:color w:val="auto"/>
                <w:sz w:val="21"/>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废混凝土试验块</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5t/a</w:t>
            </w:r>
          </w:p>
        </w:tc>
        <w:tc>
          <w:tcPr>
            <w:tcW w:w="2497" w:type="dxa"/>
            <w:gridSpan w:val="3"/>
            <w:vMerge w:val="continue"/>
            <w:tcBorders>
              <w:left w:val="single" w:color="auto" w:sz="4" w:space="0"/>
              <w:bottom w:val="single" w:color="auto" w:sz="4" w:space="0"/>
            </w:tcBorders>
            <w:vAlign w:val="center"/>
          </w:tcPr>
          <w:p>
            <w:pPr>
              <w:pStyle w:val="81"/>
              <w:jc w:val="both"/>
              <w:rPr>
                <w:rFonts w:ascii="Times New Roman" w:hAnsi="Times New Roman"/>
                <w:color w:val="auto"/>
                <w:kern w:val="2"/>
                <w:sz w:val="21"/>
                <w:szCs w:val="21"/>
              </w:rPr>
            </w:pP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67" w:hRule="atLeast"/>
          <w:jc w:val="center"/>
        </w:trPr>
        <w:tc>
          <w:tcPr>
            <w:tcW w:w="855" w:type="dxa"/>
            <w:vMerge w:val="continue"/>
            <w:tcBorders>
              <w:bottom w:val="single" w:color="auto" w:sz="6" w:space="0"/>
              <w:right w:val="single" w:color="auto" w:sz="4" w:space="0"/>
            </w:tcBorders>
            <w:vAlign w:val="center"/>
          </w:tcPr>
          <w:p>
            <w:pPr>
              <w:widowControl/>
              <w:jc w:val="left"/>
              <w:rPr>
                <w:color w:val="auto"/>
                <w:szCs w:val="21"/>
              </w:rPr>
            </w:pPr>
          </w:p>
        </w:tc>
        <w:tc>
          <w:tcPr>
            <w:tcW w:w="709" w:type="dxa"/>
            <w:vMerge w:val="continue"/>
            <w:tcBorders>
              <w:left w:val="single" w:color="auto" w:sz="4" w:space="0"/>
              <w:bottom w:val="single" w:color="auto" w:sz="6" w:space="0"/>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vMerge w:val="continue"/>
            <w:tcBorders>
              <w:left w:val="single" w:color="auto" w:sz="4" w:space="0"/>
              <w:bottom w:val="nil"/>
              <w:right w:val="single" w:color="auto" w:sz="4" w:space="0"/>
            </w:tcBorders>
            <w:vAlign w:val="center"/>
          </w:tcPr>
          <w:p>
            <w:pPr>
              <w:pStyle w:val="81"/>
              <w:rPr>
                <w:rFonts w:ascii="Times New Roman" w:hAnsi="Times New Roman"/>
                <w:color w:val="auto"/>
                <w:sz w:val="21"/>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rFonts w:hint="eastAsia"/>
                <w:color w:val="auto"/>
                <w:szCs w:val="21"/>
              </w:rPr>
              <w:t>砂石</w:t>
            </w:r>
            <w:r>
              <w:rPr>
                <w:color w:val="auto"/>
                <w:szCs w:val="21"/>
              </w:rPr>
              <w:t>分</w:t>
            </w:r>
            <w:r>
              <w:rPr>
                <w:rFonts w:hint="eastAsia"/>
                <w:color w:val="auto"/>
                <w:szCs w:val="21"/>
              </w:rPr>
              <w:t>离</w:t>
            </w:r>
            <w:r>
              <w:rPr>
                <w:color w:val="auto"/>
                <w:szCs w:val="21"/>
              </w:rPr>
              <w:t>机分离出的砂、石</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rFonts w:hint="eastAsia"/>
                <w:color w:val="auto"/>
                <w:szCs w:val="21"/>
              </w:rPr>
              <w:t>1</w:t>
            </w:r>
            <w:r>
              <w:rPr>
                <w:color w:val="auto"/>
                <w:szCs w:val="21"/>
              </w:rPr>
              <w:t>1</w:t>
            </w:r>
            <w:r>
              <w:rPr>
                <w:rFonts w:hint="eastAsia"/>
                <w:color w:val="auto"/>
                <w:szCs w:val="21"/>
              </w:rPr>
              <w:t>0</w:t>
            </w:r>
            <w:r>
              <w:rPr>
                <w:color w:val="auto"/>
                <w:szCs w:val="21"/>
              </w:rPr>
              <w:t xml:space="preserve"> t/a</w:t>
            </w:r>
          </w:p>
        </w:tc>
        <w:tc>
          <w:tcPr>
            <w:tcW w:w="2497" w:type="dxa"/>
            <w:gridSpan w:val="3"/>
            <w:tcBorders>
              <w:left w:val="single" w:color="auto" w:sz="4" w:space="0"/>
              <w:bottom w:val="single" w:color="auto" w:sz="4" w:space="0"/>
            </w:tcBorders>
            <w:vAlign w:val="center"/>
          </w:tcPr>
          <w:p>
            <w:pPr>
              <w:pStyle w:val="81"/>
              <w:rPr>
                <w:rFonts w:ascii="Times New Roman" w:hAnsi="Times New Roman"/>
                <w:color w:val="auto"/>
                <w:kern w:val="2"/>
                <w:sz w:val="21"/>
                <w:szCs w:val="21"/>
              </w:rPr>
            </w:pPr>
            <w:r>
              <w:rPr>
                <w:rFonts w:ascii="Times New Roman" w:hAnsi="Times New Roman"/>
                <w:snapToGrid w:val="0"/>
                <w:color w:val="auto"/>
                <w:kern w:val="0"/>
                <w:sz w:val="21"/>
                <w:szCs w:val="21"/>
              </w:rPr>
              <w:t>收集后回用于生产</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vMerge w:val="restart"/>
            <w:tcBorders>
              <w:top w:val="single" w:color="auto" w:sz="4" w:space="0"/>
              <w:left w:val="single" w:color="auto" w:sz="4" w:space="0"/>
              <w:right w:val="single" w:color="auto" w:sz="4" w:space="0"/>
            </w:tcBorders>
            <w:vAlign w:val="center"/>
          </w:tcPr>
          <w:p>
            <w:pPr>
              <w:pStyle w:val="81"/>
              <w:rPr>
                <w:rFonts w:ascii="Times New Roman" w:hAnsi="Times New Roman"/>
                <w:color w:val="auto"/>
                <w:sz w:val="21"/>
                <w:szCs w:val="21"/>
              </w:rPr>
            </w:pPr>
            <w:r>
              <w:rPr>
                <w:rFonts w:ascii="Times New Roman" w:hAnsi="Times New Roman"/>
                <w:color w:val="auto"/>
                <w:sz w:val="21"/>
                <w:szCs w:val="21"/>
              </w:rPr>
              <w:t>袋式</w:t>
            </w:r>
          </w:p>
          <w:p>
            <w:pPr>
              <w:pStyle w:val="81"/>
              <w:rPr>
                <w:rFonts w:ascii="Times New Roman" w:hAnsi="Times New Roman"/>
                <w:color w:val="auto"/>
                <w:sz w:val="21"/>
                <w:szCs w:val="21"/>
              </w:rPr>
            </w:pPr>
            <w:r>
              <w:rPr>
                <w:rFonts w:ascii="Times New Roman" w:hAnsi="Times New Roman"/>
                <w:color w:val="auto"/>
                <w:sz w:val="21"/>
                <w:szCs w:val="21"/>
              </w:rPr>
              <w:t>除尘器</w:t>
            </w: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rFonts w:hint="eastAsia"/>
                <w:color w:val="auto"/>
                <w:szCs w:val="21"/>
              </w:rPr>
              <w:t>混凝土搅拌生产线</w:t>
            </w:r>
            <w:r>
              <w:rPr>
                <w:color w:val="auto"/>
                <w:szCs w:val="21"/>
              </w:rPr>
              <w:t>粉尘</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447.75t/a</w:t>
            </w:r>
          </w:p>
        </w:tc>
        <w:tc>
          <w:tcPr>
            <w:tcW w:w="2497" w:type="dxa"/>
            <w:gridSpan w:val="3"/>
            <w:tcBorders>
              <w:top w:val="single" w:color="auto" w:sz="4" w:space="0"/>
              <w:left w:val="single" w:color="auto" w:sz="4" w:space="0"/>
              <w:bottom w:val="single" w:color="auto" w:sz="4" w:space="0"/>
            </w:tcBorders>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收集后回用于生产</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vMerge w:val="continue"/>
            <w:tcBorders>
              <w:left w:val="single" w:color="auto" w:sz="4" w:space="0"/>
              <w:right w:val="single" w:color="auto" w:sz="4" w:space="0"/>
            </w:tcBorders>
            <w:vAlign w:val="center"/>
          </w:tcPr>
          <w:p>
            <w:pPr>
              <w:pStyle w:val="81"/>
              <w:rPr>
                <w:rFonts w:ascii="Times New Roman" w:hAnsi="Times New Roman"/>
                <w:color w:val="auto"/>
                <w:sz w:val="21"/>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rFonts w:hint="eastAsia"/>
                <w:color w:val="auto"/>
                <w:szCs w:val="21"/>
              </w:rPr>
              <w:t>机制砂生产线石粉</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3339t/a</w:t>
            </w:r>
          </w:p>
        </w:tc>
        <w:tc>
          <w:tcPr>
            <w:tcW w:w="2497" w:type="dxa"/>
            <w:gridSpan w:val="3"/>
            <w:vMerge w:val="restart"/>
            <w:tcBorders>
              <w:top w:val="single" w:color="auto" w:sz="4" w:space="0"/>
              <w:left w:val="single" w:color="auto" w:sz="4" w:space="0"/>
            </w:tcBorders>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外售砖厂</w:t>
            </w:r>
            <w:r>
              <w:rPr>
                <w:rFonts w:hint="eastAsia" w:ascii="Times New Roman" w:hAnsi="Times New Roman"/>
                <w:color w:val="auto"/>
                <w:kern w:val="2"/>
                <w:sz w:val="21"/>
                <w:szCs w:val="21"/>
              </w:rPr>
              <w:t>制</w:t>
            </w:r>
            <w:r>
              <w:rPr>
                <w:rFonts w:ascii="Times New Roman" w:hAnsi="Times New Roman"/>
                <w:color w:val="auto"/>
                <w:kern w:val="2"/>
                <w:sz w:val="21"/>
                <w:szCs w:val="21"/>
              </w:rPr>
              <w:t>砖</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right w:val="single" w:color="auto" w:sz="4" w:space="0"/>
            </w:tcBorders>
            <w:vAlign w:val="center"/>
          </w:tcPr>
          <w:p>
            <w:pPr>
              <w:widowControl/>
              <w:jc w:val="left"/>
              <w:rPr>
                <w:color w:val="auto"/>
                <w:szCs w:val="21"/>
              </w:rPr>
            </w:pPr>
          </w:p>
        </w:tc>
        <w:tc>
          <w:tcPr>
            <w:tcW w:w="709" w:type="dxa"/>
            <w:vMerge w:val="continue"/>
            <w:tcBorders>
              <w:left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vMerge w:val="continue"/>
            <w:tcBorders>
              <w:left w:val="single" w:color="auto" w:sz="4" w:space="0"/>
              <w:bottom w:val="nil"/>
              <w:right w:val="single" w:color="auto" w:sz="4" w:space="0"/>
            </w:tcBorders>
            <w:vAlign w:val="center"/>
          </w:tcPr>
          <w:p>
            <w:pPr>
              <w:pStyle w:val="81"/>
              <w:rPr>
                <w:rFonts w:ascii="Times New Roman" w:hAnsi="Times New Roman"/>
                <w:color w:val="auto"/>
                <w:sz w:val="21"/>
                <w:szCs w:val="21"/>
              </w:rPr>
            </w:pP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rFonts w:hint="eastAsia"/>
                <w:color w:val="auto"/>
                <w:szCs w:val="21"/>
              </w:rPr>
              <w:t>机</w:t>
            </w:r>
            <w:r>
              <w:rPr>
                <w:color w:val="auto"/>
                <w:szCs w:val="21"/>
              </w:rPr>
              <w:t>制砂除尘</w:t>
            </w:r>
            <w:r>
              <w:rPr>
                <w:rFonts w:hint="eastAsia"/>
                <w:color w:val="auto"/>
                <w:szCs w:val="21"/>
              </w:rPr>
              <w:t>器</w:t>
            </w:r>
            <w:r>
              <w:rPr>
                <w:color w:val="auto"/>
                <w:szCs w:val="21"/>
              </w:rPr>
              <w:t>收集</w:t>
            </w:r>
            <w:r>
              <w:rPr>
                <w:rFonts w:hint="eastAsia"/>
                <w:color w:val="auto"/>
                <w:szCs w:val="21"/>
              </w:rPr>
              <w:t>粉尘</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370.63t/a</w:t>
            </w:r>
          </w:p>
        </w:tc>
        <w:tc>
          <w:tcPr>
            <w:tcW w:w="2497" w:type="dxa"/>
            <w:gridSpan w:val="3"/>
            <w:vMerge w:val="continue"/>
            <w:tcBorders>
              <w:left w:val="single" w:color="auto" w:sz="4" w:space="0"/>
              <w:bottom w:val="single" w:color="auto" w:sz="4" w:space="0"/>
            </w:tcBorders>
            <w:vAlign w:val="center"/>
          </w:tcPr>
          <w:p>
            <w:pPr>
              <w:pStyle w:val="81"/>
              <w:rPr>
                <w:rFonts w:ascii="Times New Roman" w:hAnsi="Times New Roman"/>
                <w:color w:val="auto"/>
                <w:kern w:val="2"/>
                <w:sz w:val="21"/>
                <w:szCs w:val="21"/>
              </w:rPr>
            </w:pP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vMerge w:val="continue"/>
            <w:tcBorders>
              <w:bottom w:val="single" w:color="auto" w:sz="4" w:space="0"/>
              <w:right w:val="single" w:color="auto" w:sz="4" w:space="0"/>
            </w:tcBorders>
            <w:vAlign w:val="center"/>
          </w:tcPr>
          <w:p>
            <w:pPr>
              <w:widowControl/>
              <w:jc w:val="left"/>
              <w:rPr>
                <w:color w:val="auto"/>
                <w:szCs w:val="21"/>
              </w:rPr>
            </w:pPr>
          </w:p>
        </w:tc>
        <w:tc>
          <w:tcPr>
            <w:tcW w:w="709" w:type="dxa"/>
            <w:vMerge w:val="continue"/>
            <w:tcBorders>
              <w:left w:val="single" w:color="auto" w:sz="4" w:space="0"/>
              <w:bottom w:val="nil"/>
              <w:right w:val="single" w:color="auto" w:sz="4" w:space="0"/>
            </w:tcBorders>
            <w:vAlign w:val="center"/>
          </w:tcPr>
          <w:p>
            <w:pPr>
              <w:tabs>
                <w:tab w:val="left" w:pos="-83"/>
              </w:tabs>
              <w:snapToGrid w:val="0"/>
              <w:ind w:left="-105" w:leftChars="-50" w:right="-105" w:rightChars="-50"/>
              <w:jc w:val="center"/>
              <w:rPr>
                <w:color w:val="auto"/>
                <w:szCs w:val="21"/>
              </w:rPr>
            </w:pPr>
          </w:p>
        </w:tc>
        <w:tc>
          <w:tcPr>
            <w:tcW w:w="1125" w:type="dxa"/>
            <w:tcBorders>
              <w:top w:val="single" w:color="auto" w:sz="4" w:space="0"/>
              <w:left w:val="single" w:color="auto" w:sz="4" w:space="0"/>
              <w:bottom w:val="nil"/>
              <w:right w:val="single" w:color="auto" w:sz="4" w:space="0"/>
            </w:tcBorders>
            <w:vAlign w:val="center"/>
          </w:tcPr>
          <w:p>
            <w:pPr>
              <w:pStyle w:val="81"/>
              <w:rPr>
                <w:rFonts w:ascii="Times New Roman" w:hAnsi="Times New Roman"/>
                <w:color w:val="auto"/>
                <w:sz w:val="21"/>
                <w:szCs w:val="21"/>
              </w:rPr>
            </w:pPr>
            <w:r>
              <w:rPr>
                <w:rFonts w:ascii="Times New Roman" w:hAnsi="Times New Roman"/>
                <w:color w:val="auto"/>
                <w:sz w:val="21"/>
                <w:szCs w:val="21"/>
              </w:rPr>
              <w:t>员工生活</w:t>
            </w:r>
          </w:p>
        </w:tc>
        <w:tc>
          <w:tcPr>
            <w:tcW w:w="2126"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生活垃圾</w:t>
            </w:r>
          </w:p>
        </w:tc>
        <w:tc>
          <w:tcPr>
            <w:tcW w:w="128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szCs w:val="21"/>
              </w:rPr>
            </w:pPr>
            <w:r>
              <w:rPr>
                <w:color w:val="auto"/>
                <w:szCs w:val="21"/>
              </w:rPr>
              <w:t>4.16t/a</w:t>
            </w:r>
          </w:p>
        </w:tc>
        <w:tc>
          <w:tcPr>
            <w:tcW w:w="2497" w:type="dxa"/>
            <w:gridSpan w:val="3"/>
            <w:tcBorders>
              <w:top w:val="single" w:color="auto" w:sz="4" w:space="0"/>
              <w:left w:val="single" w:color="auto" w:sz="4" w:space="0"/>
              <w:bottom w:val="single" w:color="auto" w:sz="4" w:space="0"/>
            </w:tcBorders>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环卫部门处理</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284" w:hRule="atLeast"/>
          <w:jc w:val="center"/>
        </w:trPr>
        <w:tc>
          <w:tcPr>
            <w:tcW w:w="855" w:type="dxa"/>
            <w:tcBorders>
              <w:top w:val="single" w:color="auto" w:sz="4" w:space="0"/>
              <w:bottom w:val="single" w:color="auto" w:sz="4" w:space="0"/>
              <w:right w:val="single" w:color="auto" w:sz="4" w:space="0"/>
            </w:tcBorders>
            <w:vAlign w:val="center"/>
          </w:tcPr>
          <w:p>
            <w:pPr>
              <w:snapToGrid w:val="0"/>
              <w:jc w:val="center"/>
              <w:rPr>
                <w:color w:val="auto"/>
                <w:szCs w:val="21"/>
              </w:rPr>
            </w:pPr>
            <w:r>
              <w:rPr>
                <w:b/>
                <w:color w:val="auto"/>
                <w:szCs w:val="21"/>
              </w:rPr>
              <w:t>噪声</w:t>
            </w:r>
          </w:p>
        </w:tc>
        <w:tc>
          <w:tcPr>
            <w:tcW w:w="709" w:type="dxa"/>
            <w:tcBorders>
              <w:top w:val="single" w:color="auto" w:sz="4" w:space="0"/>
              <w:left w:val="single" w:color="auto" w:sz="4" w:space="0"/>
              <w:bottom w:val="single" w:color="auto" w:sz="4" w:space="0"/>
              <w:right w:val="single" w:color="auto" w:sz="4" w:space="0"/>
            </w:tcBorders>
            <w:vAlign w:val="center"/>
          </w:tcPr>
          <w:p>
            <w:pPr>
              <w:tabs>
                <w:tab w:val="left" w:pos="-83"/>
              </w:tabs>
              <w:snapToGrid w:val="0"/>
              <w:ind w:left="-105" w:leftChars="-50" w:right="-105" w:rightChars="-50"/>
              <w:jc w:val="center"/>
              <w:rPr>
                <w:color w:val="auto"/>
                <w:szCs w:val="21"/>
              </w:rPr>
            </w:pPr>
            <w:r>
              <w:rPr>
                <w:color w:val="auto"/>
                <w:szCs w:val="21"/>
              </w:rPr>
              <w:t>运营期</w:t>
            </w:r>
          </w:p>
        </w:tc>
        <w:tc>
          <w:tcPr>
            <w:tcW w:w="1125" w:type="dxa"/>
            <w:tcBorders>
              <w:top w:val="single" w:color="auto" w:sz="4" w:space="0"/>
              <w:left w:val="single" w:color="auto" w:sz="4" w:space="0"/>
              <w:bottom w:val="single" w:color="auto" w:sz="4" w:space="0"/>
              <w:right w:val="single" w:color="auto" w:sz="4" w:space="0"/>
            </w:tcBorders>
            <w:vAlign w:val="center"/>
          </w:tcPr>
          <w:p>
            <w:pPr>
              <w:pStyle w:val="81"/>
              <w:spacing w:line="300" w:lineRule="exact"/>
              <w:rPr>
                <w:rFonts w:ascii="Times New Roman" w:hAnsi="Times New Roman"/>
                <w:color w:val="auto"/>
                <w:sz w:val="21"/>
                <w:szCs w:val="21"/>
              </w:rPr>
            </w:pPr>
            <w:r>
              <w:rPr>
                <w:rFonts w:ascii="Times New Roman" w:hAnsi="Times New Roman"/>
                <w:color w:val="auto"/>
                <w:sz w:val="21"/>
                <w:szCs w:val="21"/>
              </w:rPr>
              <w:t>生产工序</w:t>
            </w:r>
          </w:p>
        </w:tc>
        <w:tc>
          <w:tcPr>
            <w:tcW w:w="4545"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00" w:lineRule="exact"/>
              <w:jc w:val="center"/>
              <w:rPr>
                <w:color w:val="auto"/>
                <w:szCs w:val="21"/>
              </w:rPr>
            </w:pPr>
            <w:r>
              <w:rPr>
                <w:color w:val="auto"/>
                <w:szCs w:val="21"/>
              </w:rPr>
              <w:t>制砂生产线生产设备、混凝土搅拌楼搅拌机等设备运行噪声，沙石卸料噪声和运输车辆噪声</w:t>
            </w:r>
          </w:p>
        </w:tc>
        <w:tc>
          <w:tcPr>
            <w:tcW w:w="2497" w:type="dxa"/>
            <w:gridSpan w:val="3"/>
            <w:tcBorders>
              <w:top w:val="single" w:color="auto" w:sz="4" w:space="0"/>
              <w:left w:val="single" w:color="auto" w:sz="4" w:space="0"/>
              <w:bottom w:val="single" w:color="auto" w:sz="4" w:space="0"/>
            </w:tcBorders>
            <w:vAlign w:val="center"/>
          </w:tcPr>
          <w:p>
            <w:pPr>
              <w:pStyle w:val="81"/>
              <w:snapToGrid w:val="0"/>
              <w:spacing w:line="300" w:lineRule="exact"/>
              <w:rPr>
                <w:rFonts w:ascii="Times New Roman" w:hAnsi="Times New Roman"/>
                <w:color w:val="auto"/>
                <w:sz w:val="21"/>
                <w:szCs w:val="21"/>
              </w:rPr>
            </w:pPr>
            <w:r>
              <w:rPr>
                <w:rFonts w:ascii="Times New Roman" w:hAnsi="Times New Roman"/>
                <w:color w:val="auto"/>
                <w:sz w:val="21"/>
                <w:szCs w:val="21"/>
              </w:rPr>
              <w:t>60～90dB（A）</w:t>
            </w:r>
          </w:p>
        </w:tc>
      </w:tr>
      <w:tr>
        <w:tblPrEx>
          <w:tblBorders>
            <w:top w:val="single" w:color="auto" w:sz="4" w:space="0"/>
            <w:left w:val="single" w:color="auto" w:sz="4" w:space="0"/>
            <w:bottom w:val="single" w:color="auto" w:sz="6" w:space="0"/>
            <w:right w:val="single" w:color="auto" w:sz="4" w:space="0"/>
            <w:insideH w:val="none" w:color="auto" w:sz="0" w:space="0"/>
            <w:insideV w:val="none" w:color="auto" w:sz="0" w:space="0"/>
          </w:tblBorders>
          <w:tblCellMar>
            <w:top w:w="0" w:type="dxa"/>
            <w:left w:w="28" w:type="dxa"/>
            <w:bottom w:w="0" w:type="dxa"/>
            <w:right w:w="28" w:type="dxa"/>
          </w:tblCellMar>
        </w:tblPrEx>
        <w:trPr>
          <w:trHeight w:val="1266" w:hRule="atLeast"/>
          <w:jc w:val="center"/>
        </w:trPr>
        <w:tc>
          <w:tcPr>
            <w:tcW w:w="9731" w:type="dxa"/>
            <w:gridSpan w:val="9"/>
            <w:tcBorders>
              <w:top w:val="single" w:color="auto" w:sz="4" w:space="0"/>
              <w:bottom w:val="single" w:color="auto" w:sz="6" w:space="0"/>
            </w:tcBorders>
          </w:tcPr>
          <w:p>
            <w:pPr>
              <w:tabs>
                <w:tab w:val="left" w:pos="720"/>
              </w:tabs>
              <w:snapToGrid w:val="0"/>
              <w:spacing w:line="420" w:lineRule="exact"/>
              <w:ind w:left="105" w:leftChars="50" w:right="105" w:rightChars="50"/>
              <w:jc w:val="left"/>
              <w:rPr>
                <w:b/>
                <w:color w:val="auto"/>
                <w:szCs w:val="21"/>
              </w:rPr>
            </w:pPr>
            <w:r>
              <w:rPr>
                <w:b/>
                <w:color w:val="auto"/>
                <w:szCs w:val="21"/>
              </w:rPr>
              <w:t>主要生态影响（不够时可附另页）：</w:t>
            </w:r>
          </w:p>
          <w:p>
            <w:pPr>
              <w:autoSpaceDE w:val="0"/>
              <w:autoSpaceDN w:val="0"/>
              <w:adjustRightInd w:val="0"/>
              <w:snapToGrid w:val="0"/>
              <w:spacing w:line="420" w:lineRule="exact"/>
              <w:ind w:firstLine="480" w:firstLineChars="200"/>
              <w:textAlignment w:val="baseline"/>
              <w:rPr>
                <w:color w:val="auto"/>
                <w:sz w:val="24"/>
              </w:rPr>
            </w:pPr>
            <w:r>
              <w:rPr>
                <w:rFonts w:hint="eastAsia"/>
                <w:color w:val="auto"/>
                <w:sz w:val="24"/>
              </w:rPr>
              <w:t>项目位于普宁市军埠镇大长陇工业区，所在地附近无自然保护区及文物古迹等特殊保护对象。</w:t>
            </w:r>
          </w:p>
          <w:p>
            <w:pPr>
              <w:autoSpaceDE w:val="0"/>
              <w:autoSpaceDN w:val="0"/>
              <w:adjustRightInd w:val="0"/>
              <w:snapToGrid w:val="0"/>
              <w:spacing w:line="420" w:lineRule="exact"/>
              <w:ind w:firstLine="480" w:firstLineChars="200"/>
              <w:textAlignment w:val="baseline"/>
              <w:rPr>
                <w:color w:val="auto"/>
                <w:sz w:val="24"/>
              </w:rPr>
            </w:pPr>
            <w:r>
              <w:rPr>
                <w:rFonts w:hint="eastAsia"/>
                <w:color w:val="auto"/>
                <w:sz w:val="24"/>
              </w:rPr>
              <w:t>本项目排放的废气、噪声等污染会对周围生态环境产生一定影响，例如影响周边植物的生长，动物的活动等。但是总体来说，各类废物排放量不大，且能够及时处理，对生态环境的影响不大。</w:t>
            </w:r>
          </w:p>
          <w:p>
            <w:pPr>
              <w:autoSpaceDE w:val="0"/>
              <w:autoSpaceDN w:val="0"/>
              <w:adjustRightInd w:val="0"/>
              <w:snapToGrid w:val="0"/>
              <w:spacing w:line="420" w:lineRule="exact"/>
              <w:ind w:firstLine="480" w:firstLineChars="200"/>
              <w:textAlignment w:val="baseline"/>
              <w:rPr>
                <w:color w:val="auto"/>
                <w:sz w:val="24"/>
              </w:rPr>
            </w:pPr>
            <w:r>
              <w:rPr>
                <w:rFonts w:hint="eastAsia"/>
                <w:color w:val="auto"/>
                <w:sz w:val="24"/>
              </w:rPr>
              <w:t>建议建设单位通过加强管理，做好厂区的绿化工作，可美化环境，减少粉尘及噪声影响。</w:t>
            </w:r>
          </w:p>
          <w:p>
            <w:pPr>
              <w:pStyle w:val="2"/>
              <w:ind w:firstLine="0" w:firstLineChars="0"/>
              <w:rPr>
                <w:color w:val="auto"/>
              </w:rPr>
            </w:pPr>
          </w:p>
        </w:tc>
      </w:tr>
    </w:tbl>
    <w:p>
      <w:pPr>
        <w:pStyle w:val="3"/>
        <w:keepLines/>
        <w:tabs>
          <w:tab w:val="left" w:pos="630"/>
        </w:tabs>
        <w:jc w:val="both"/>
        <w:rPr>
          <w:b/>
          <w:bCs/>
          <w:color w:val="auto"/>
          <w:kern w:val="44"/>
          <w:sz w:val="30"/>
          <w:szCs w:val="30"/>
        </w:rPr>
      </w:pPr>
      <w:r>
        <w:rPr>
          <w:b/>
          <w:bCs/>
          <w:color w:val="auto"/>
          <w:kern w:val="44"/>
          <w:sz w:val="30"/>
          <w:szCs w:val="30"/>
        </w:rPr>
        <w:t>七、环境影响分析</w:t>
      </w:r>
    </w:p>
    <w:tbl>
      <w:tblPr>
        <w:tblStyle w:val="29"/>
        <w:tblW w:w="97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3" w:hRule="atLeast"/>
          <w:jc w:val="center"/>
        </w:trPr>
        <w:tc>
          <w:tcPr>
            <w:tcW w:w="9767" w:type="dxa"/>
          </w:tcPr>
          <w:p>
            <w:pPr>
              <w:numPr>
                <w:ilvl w:val="0"/>
                <w:numId w:val="11"/>
              </w:numPr>
              <w:tabs>
                <w:tab w:val="left" w:pos="5775"/>
              </w:tabs>
              <w:spacing w:line="360" w:lineRule="auto"/>
              <w:ind w:firstLine="562"/>
              <w:rPr>
                <w:b/>
                <w:bCs/>
                <w:color w:val="auto"/>
                <w:sz w:val="28"/>
                <w:szCs w:val="28"/>
              </w:rPr>
            </w:pPr>
            <w:r>
              <w:rPr>
                <w:b/>
                <w:bCs/>
                <w:color w:val="auto"/>
                <w:sz w:val="28"/>
                <w:szCs w:val="28"/>
              </w:rPr>
              <w:t>施工期环境影响分析</w:t>
            </w:r>
          </w:p>
          <w:p>
            <w:pPr>
              <w:spacing w:line="360" w:lineRule="auto"/>
              <w:ind w:firstLine="480"/>
              <w:rPr>
                <w:color w:val="auto"/>
                <w:sz w:val="24"/>
              </w:rPr>
            </w:pPr>
            <w:r>
              <w:rPr>
                <w:rFonts w:hint="eastAsia"/>
                <w:color w:val="auto"/>
                <w:sz w:val="24"/>
              </w:rPr>
              <w:t>本项目主体建筑物已建成，拟</w:t>
            </w:r>
            <w:r>
              <w:rPr>
                <w:color w:val="auto"/>
                <w:sz w:val="24"/>
              </w:rPr>
              <w:t>建机制砂生产线只</w:t>
            </w:r>
            <w:r>
              <w:rPr>
                <w:rFonts w:hint="eastAsia"/>
                <w:color w:val="auto"/>
                <w:sz w:val="24"/>
              </w:rPr>
              <w:t>是</w:t>
            </w:r>
            <w:r>
              <w:rPr>
                <w:color w:val="auto"/>
                <w:sz w:val="24"/>
              </w:rPr>
              <w:t>进行生产设备安装，</w:t>
            </w:r>
            <w:r>
              <w:rPr>
                <w:rFonts w:hint="eastAsia"/>
                <w:color w:val="auto"/>
                <w:sz w:val="24"/>
              </w:rPr>
              <w:t>项目不涉及大型土建工程，因此本环评不进行主体建筑的施工期影响分析。</w:t>
            </w:r>
          </w:p>
          <w:p>
            <w:pPr>
              <w:tabs>
                <w:tab w:val="left" w:pos="5775"/>
              </w:tabs>
              <w:spacing w:line="360" w:lineRule="auto"/>
              <w:ind w:firstLine="562"/>
              <w:rPr>
                <w:b/>
                <w:color w:val="auto"/>
                <w:sz w:val="28"/>
                <w:szCs w:val="28"/>
              </w:rPr>
            </w:pPr>
            <w:r>
              <w:rPr>
                <w:b/>
                <w:color w:val="auto"/>
                <w:sz w:val="28"/>
                <w:szCs w:val="28"/>
              </w:rPr>
              <w:t>（二）营运期环境影响分析</w:t>
            </w:r>
          </w:p>
          <w:p>
            <w:pPr>
              <w:tabs>
                <w:tab w:val="left" w:pos="3372"/>
              </w:tabs>
              <w:spacing w:line="360" w:lineRule="auto"/>
              <w:ind w:firstLine="482" w:firstLineChars="200"/>
              <w:rPr>
                <w:b/>
                <w:color w:val="auto"/>
                <w:sz w:val="24"/>
                <w:szCs w:val="22"/>
              </w:rPr>
            </w:pPr>
            <w:r>
              <w:rPr>
                <w:rFonts w:hint="eastAsia"/>
                <w:b/>
                <w:color w:val="auto"/>
                <w:sz w:val="24"/>
                <w:szCs w:val="22"/>
              </w:rPr>
              <w:t>1、大气</w:t>
            </w:r>
            <w:r>
              <w:rPr>
                <w:b/>
                <w:color w:val="auto"/>
                <w:sz w:val="24"/>
                <w:szCs w:val="22"/>
              </w:rPr>
              <w:t>环境影响分析</w:t>
            </w:r>
          </w:p>
          <w:p>
            <w:pPr>
              <w:tabs>
                <w:tab w:val="left" w:pos="3372"/>
              </w:tabs>
              <w:spacing w:line="360" w:lineRule="auto"/>
              <w:ind w:firstLine="482" w:firstLineChars="200"/>
              <w:rPr>
                <w:color w:val="auto"/>
                <w:sz w:val="24"/>
                <w:szCs w:val="22"/>
              </w:rPr>
            </w:pPr>
            <w:r>
              <w:rPr>
                <w:rFonts w:hint="eastAsia"/>
                <w:b/>
                <w:color w:val="auto"/>
                <w:sz w:val="24"/>
                <w:szCs w:val="22"/>
              </w:rPr>
              <w:t>（1）环境空气初步预测及评价等级判定</w:t>
            </w:r>
            <w:r>
              <w:rPr>
                <w:rFonts w:hint="eastAsia"/>
                <w:color w:val="auto"/>
                <w:sz w:val="24"/>
                <w:szCs w:val="22"/>
              </w:rPr>
              <w:t>：</w:t>
            </w:r>
          </w:p>
          <w:p>
            <w:pPr>
              <w:tabs>
                <w:tab w:val="left" w:pos="3372"/>
              </w:tabs>
              <w:spacing w:line="360" w:lineRule="auto"/>
              <w:ind w:firstLine="480" w:firstLineChars="200"/>
              <w:rPr>
                <w:color w:val="auto"/>
                <w:sz w:val="24"/>
                <w:szCs w:val="22"/>
              </w:rPr>
            </w:pPr>
            <w:r>
              <w:rPr>
                <w:rFonts w:hint="eastAsia"/>
                <w:color w:val="auto"/>
                <w:sz w:val="24"/>
                <w:szCs w:val="22"/>
              </w:rPr>
              <w:t>根据《环境影响评价技术导则大气环境》（HJ2.2-2018），分别计算每一种污染物的最大地面浓度占标率Pi（第i个污染物），及第i个污染物的地面浓度达标准限值10%时所对应的最远距离D10%。其中Pi定义为：</w:t>
            </w:r>
          </w:p>
          <w:p>
            <w:pPr>
              <w:pStyle w:val="2"/>
              <w:rPr>
                <w:color w:val="auto"/>
              </w:rPr>
            </w:pPr>
          </w:p>
          <w:p>
            <w:pPr>
              <w:tabs>
                <w:tab w:val="left" w:pos="3372"/>
              </w:tabs>
              <w:spacing w:line="360" w:lineRule="auto"/>
              <w:ind w:firstLine="480" w:firstLineChars="200"/>
              <w:jc w:val="center"/>
              <w:rPr>
                <w:color w:val="auto"/>
                <w:sz w:val="24"/>
                <w:szCs w:val="22"/>
              </w:rPr>
            </w:pPr>
            <w:r>
              <w:rPr>
                <w:color w:val="auto"/>
                <w:sz w:val="24"/>
                <w:szCs w:val="22"/>
              </w:rPr>
              <w:object>
                <v:shape id="_x0000_i1025" o:spt="75" type="#_x0000_t75" style="height:28.8pt;width:79.5pt;" o:ole="t" filled="f" o:preferrelative="t" stroked="f" coordsize="21600,21600">
                  <v:path/>
                  <v:fill on="f" focussize="0,0"/>
                  <v:stroke on="f" joinstyle="miter"/>
                  <v:imagedata r:id="rId30" o:title=""/>
                  <o:lock v:ext="edit" aspectratio="t"/>
                  <w10:wrap type="none"/>
                  <w10:anchorlock/>
                </v:shape>
                <o:OLEObject Type="Embed" ProgID="Equation.3" ShapeID="_x0000_i1025" DrawAspect="Content" ObjectID="_1468075725" r:id="rId29">
                  <o:LockedField>false</o:LockedField>
                </o:OLEObject>
              </w:object>
            </w:r>
          </w:p>
          <w:p>
            <w:pPr>
              <w:pStyle w:val="2"/>
              <w:rPr>
                <w:color w:val="auto"/>
              </w:rPr>
            </w:pPr>
          </w:p>
          <w:p>
            <w:pPr>
              <w:tabs>
                <w:tab w:val="left" w:pos="3372"/>
              </w:tabs>
              <w:spacing w:line="360" w:lineRule="auto"/>
              <w:ind w:firstLine="480" w:firstLineChars="200"/>
              <w:rPr>
                <w:color w:val="auto"/>
                <w:sz w:val="24"/>
                <w:szCs w:val="22"/>
              </w:rPr>
            </w:pPr>
            <w:r>
              <w:rPr>
                <w:rFonts w:hint="eastAsia"/>
                <w:color w:val="auto"/>
                <w:sz w:val="24"/>
                <w:szCs w:val="22"/>
              </w:rPr>
              <w:t>式中：Pi——第i个污染物的最大地面空气质量浓度占标率，%；</w:t>
            </w:r>
          </w:p>
          <w:p>
            <w:pPr>
              <w:tabs>
                <w:tab w:val="left" w:pos="3372"/>
              </w:tabs>
              <w:spacing w:line="360" w:lineRule="auto"/>
              <w:ind w:firstLine="480" w:firstLineChars="200"/>
              <w:rPr>
                <w:color w:val="auto"/>
                <w:sz w:val="24"/>
                <w:szCs w:val="22"/>
              </w:rPr>
            </w:pPr>
            <w:r>
              <w:rPr>
                <w:rFonts w:hint="eastAsia"/>
                <w:color w:val="auto"/>
                <w:sz w:val="24"/>
                <w:szCs w:val="22"/>
              </w:rPr>
              <w:t>Ci——采用估算模式计算出的第i个污染物的最大1h地面空气质量浓度，mg/m</w:t>
            </w:r>
            <w:r>
              <w:rPr>
                <w:rFonts w:hint="eastAsia"/>
                <w:color w:val="auto"/>
                <w:sz w:val="24"/>
                <w:szCs w:val="22"/>
                <w:vertAlign w:val="superscript"/>
              </w:rPr>
              <w:t>3</w:t>
            </w:r>
            <w:r>
              <w:rPr>
                <w:rFonts w:hint="eastAsia"/>
                <w:color w:val="auto"/>
                <w:sz w:val="24"/>
                <w:szCs w:val="22"/>
              </w:rPr>
              <w:t>；</w:t>
            </w:r>
          </w:p>
          <w:p>
            <w:pPr>
              <w:tabs>
                <w:tab w:val="left" w:pos="3372"/>
              </w:tabs>
              <w:spacing w:line="360" w:lineRule="auto"/>
              <w:ind w:firstLine="480" w:firstLineChars="200"/>
              <w:rPr>
                <w:color w:val="auto"/>
                <w:sz w:val="24"/>
                <w:szCs w:val="22"/>
              </w:rPr>
            </w:pPr>
            <w:r>
              <w:rPr>
                <w:rFonts w:hint="eastAsia"/>
                <w:color w:val="auto"/>
                <w:sz w:val="24"/>
                <w:szCs w:val="22"/>
              </w:rPr>
              <w:t>Coi——第i个污染物的环境空气质量标准，</w:t>
            </w:r>
            <w:r>
              <w:rPr>
                <w:color w:val="auto"/>
                <w:sz w:val="24"/>
                <w:szCs w:val="22"/>
              </w:rPr>
              <w:t>μ</w:t>
            </w:r>
            <w:r>
              <w:rPr>
                <w:rFonts w:hint="eastAsia"/>
                <w:color w:val="auto"/>
                <w:sz w:val="24"/>
                <w:szCs w:val="22"/>
              </w:rPr>
              <w:t>g/m3。</w:t>
            </w:r>
          </w:p>
          <w:p>
            <w:pPr>
              <w:tabs>
                <w:tab w:val="left" w:pos="3372"/>
              </w:tabs>
              <w:spacing w:line="360" w:lineRule="auto"/>
              <w:ind w:firstLine="480" w:firstLineChars="200"/>
              <w:rPr>
                <w:color w:val="auto"/>
                <w:sz w:val="24"/>
                <w:szCs w:val="22"/>
              </w:rPr>
            </w:pPr>
            <w:r>
              <w:rPr>
                <w:rFonts w:hint="eastAsia"/>
                <w:color w:val="auto"/>
                <w:sz w:val="24"/>
                <w:szCs w:val="22"/>
              </w:rPr>
              <w:t>评价工作等级按表7-1的分级判据进行划分，如污染物数i大于1，取Pi值最大值（Pmax）和其对应的D10%。</w:t>
            </w:r>
          </w:p>
          <w:p>
            <w:pPr>
              <w:tabs>
                <w:tab w:val="left" w:pos="3372"/>
              </w:tabs>
              <w:spacing w:line="360" w:lineRule="auto"/>
              <w:ind w:firstLine="422" w:firstLineChars="200"/>
              <w:jc w:val="center"/>
              <w:rPr>
                <w:b/>
                <w:bCs/>
                <w:color w:val="auto"/>
                <w:szCs w:val="21"/>
              </w:rPr>
            </w:pPr>
          </w:p>
          <w:p>
            <w:pPr>
              <w:tabs>
                <w:tab w:val="left" w:pos="3372"/>
              </w:tabs>
              <w:spacing w:line="360" w:lineRule="auto"/>
              <w:ind w:firstLine="422" w:firstLineChars="200"/>
              <w:jc w:val="center"/>
              <w:rPr>
                <w:color w:val="auto"/>
                <w:szCs w:val="21"/>
              </w:rPr>
            </w:pPr>
            <w:r>
              <w:rPr>
                <w:rFonts w:hint="eastAsia"/>
                <w:b/>
                <w:bCs/>
                <w:color w:val="auto"/>
                <w:szCs w:val="21"/>
              </w:rPr>
              <w:t>表7-1大气评价等级工作划分</w:t>
            </w:r>
          </w:p>
          <w:tbl>
            <w:tblPr>
              <w:tblStyle w:val="30"/>
              <w:tblW w:w="830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151"/>
              <w:gridCol w:w="41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151" w:type="dxa"/>
                  <w:vAlign w:val="center"/>
                </w:tcPr>
                <w:p>
                  <w:pPr>
                    <w:tabs>
                      <w:tab w:val="left" w:pos="3372"/>
                    </w:tabs>
                    <w:spacing w:line="360" w:lineRule="auto"/>
                    <w:ind w:firstLine="422" w:firstLineChars="200"/>
                    <w:jc w:val="center"/>
                    <w:rPr>
                      <w:b/>
                      <w:bCs/>
                      <w:color w:val="auto"/>
                      <w:szCs w:val="21"/>
                    </w:rPr>
                  </w:pPr>
                  <w:r>
                    <w:rPr>
                      <w:rFonts w:hint="eastAsia"/>
                      <w:b/>
                      <w:bCs/>
                      <w:color w:val="auto"/>
                      <w:szCs w:val="21"/>
                    </w:rPr>
                    <w:t>评价等级</w:t>
                  </w:r>
                </w:p>
              </w:tc>
              <w:tc>
                <w:tcPr>
                  <w:tcW w:w="4151" w:type="dxa"/>
                  <w:vAlign w:val="center"/>
                </w:tcPr>
                <w:p>
                  <w:pPr>
                    <w:tabs>
                      <w:tab w:val="left" w:pos="3372"/>
                    </w:tabs>
                    <w:spacing w:line="360" w:lineRule="auto"/>
                    <w:ind w:firstLine="422" w:firstLineChars="200"/>
                    <w:jc w:val="center"/>
                    <w:rPr>
                      <w:b/>
                      <w:bCs/>
                      <w:color w:val="auto"/>
                      <w:szCs w:val="21"/>
                    </w:rPr>
                  </w:pPr>
                  <w:r>
                    <w:rPr>
                      <w:rFonts w:hint="eastAsia"/>
                      <w:b/>
                      <w:bCs/>
                      <w:color w:val="auto"/>
                      <w:szCs w:val="21"/>
                    </w:rPr>
                    <w:t>评价工作分级判据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一级</w:t>
                  </w:r>
                </w:p>
              </w:tc>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Pmax≥10%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二级</w:t>
                  </w:r>
                </w:p>
              </w:tc>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1%≤Pmax≤10%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三级</w:t>
                  </w:r>
                </w:p>
              </w:tc>
              <w:tc>
                <w:tcPr>
                  <w:tcW w:w="4151" w:type="dxa"/>
                  <w:vAlign w:val="center"/>
                </w:tcPr>
                <w:p>
                  <w:pPr>
                    <w:tabs>
                      <w:tab w:val="left" w:pos="3372"/>
                    </w:tabs>
                    <w:spacing w:line="360" w:lineRule="auto"/>
                    <w:ind w:firstLine="420" w:firstLineChars="200"/>
                    <w:jc w:val="center"/>
                    <w:rPr>
                      <w:color w:val="auto"/>
                      <w:szCs w:val="21"/>
                    </w:rPr>
                  </w:pPr>
                  <w:r>
                    <w:rPr>
                      <w:rFonts w:hint="eastAsia"/>
                      <w:color w:val="auto"/>
                      <w:szCs w:val="21"/>
                    </w:rPr>
                    <w:t>Pmax≤1%</w:t>
                  </w:r>
                </w:p>
              </w:tc>
            </w:tr>
          </w:tbl>
          <w:p>
            <w:pPr>
              <w:pStyle w:val="228"/>
              <w:numPr>
                <w:ilvl w:val="0"/>
                <w:numId w:val="12"/>
              </w:numPr>
              <w:spacing w:line="360" w:lineRule="auto"/>
              <w:ind w:firstLineChars="0"/>
              <w:rPr>
                <w:color w:val="auto"/>
                <w:sz w:val="24"/>
              </w:rPr>
            </w:pPr>
            <w:r>
              <w:rPr>
                <w:rFonts w:hint="eastAsia"/>
                <w:color w:val="auto"/>
                <w:sz w:val="24"/>
              </w:rPr>
              <w:t>大气环境影响评价估算对象及源强</w:t>
            </w:r>
          </w:p>
          <w:p>
            <w:pPr>
              <w:spacing w:line="360" w:lineRule="auto"/>
              <w:ind w:firstLine="480"/>
              <w:rPr>
                <w:color w:val="auto"/>
                <w:sz w:val="24"/>
              </w:rPr>
            </w:pPr>
            <w:r>
              <w:rPr>
                <w:rFonts w:hint="eastAsia"/>
                <w:color w:val="auto"/>
                <w:sz w:val="24"/>
              </w:rPr>
              <w:t>本项目运营期间大气污染主要为粉尘。项目污染源强计算参数见表7-</w:t>
            </w:r>
            <w:r>
              <w:rPr>
                <w:color w:val="auto"/>
                <w:sz w:val="24"/>
              </w:rPr>
              <w:t>4</w:t>
            </w:r>
            <w:r>
              <w:rPr>
                <w:rFonts w:hint="eastAsia"/>
                <w:color w:val="auto"/>
                <w:sz w:val="24"/>
              </w:rPr>
              <w:t>和表7-</w:t>
            </w:r>
            <w:r>
              <w:rPr>
                <w:color w:val="auto"/>
                <w:sz w:val="24"/>
              </w:rPr>
              <w:t>5</w:t>
            </w:r>
            <w:r>
              <w:rPr>
                <w:rFonts w:hint="eastAsia"/>
                <w:color w:val="auto"/>
                <w:sz w:val="24"/>
              </w:rPr>
              <w:t>，估算模式计算结果汇总见表7-</w:t>
            </w:r>
            <w:r>
              <w:rPr>
                <w:color w:val="auto"/>
                <w:sz w:val="24"/>
              </w:rPr>
              <w:t>6</w:t>
            </w:r>
            <w:r>
              <w:rPr>
                <w:rFonts w:hint="eastAsia"/>
                <w:color w:val="auto"/>
                <w:sz w:val="24"/>
              </w:rPr>
              <w:t>。</w:t>
            </w:r>
          </w:p>
          <w:p>
            <w:pPr>
              <w:ind w:firstLine="34"/>
              <w:jc w:val="center"/>
              <w:rPr>
                <w:b/>
                <w:bCs/>
                <w:color w:val="auto"/>
                <w:szCs w:val="21"/>
              </w:rPr>
            </w:pPr>
          </w:p>
          <w:p>
            <w:pPr>
              <w:ind w:firstLine="34"/>
              <w:jc w:val="center"/>
              <w:rPr>
                <w:b/>
                <w:bCs/>
                <w:color w:val="auto"/>
                <w:szCs w:val="21"/>
              </w:rPr>
            </w:pPr>
            <w:r>
              <w:rPr>
                <w:b/>
                <w:bCs/>
                <w:color w:val="auto"/>
                <w:szCs w:val="21"/>
              </w:rPr>
              <w:t>表</w:t>
            </w:r>
            <w:r>
              <w:rPr>
                <w:rFonts w:hint="eastAsia"/>
                <w:b/>
                <w:bCs/>
                <w:color w:val="auto"/>
                <w:szCs w:val="21"/>
              </w:rPr>
              <w:t>7-</w:t>
            </w:r>
            <w:r>
              <w:rPr>
                <w:rFonts w:hint="eastAsia"/>
                <w:b/>
                <w:color w:val="auto"/>
                <w:szCs w:val="21"/>
              </w:rPr>
              <w:t>2</w:t>
            </w:r>
            <w:r>
              <w:rPr>
                <w:b/>
                <w:bCs/>
                <w:color w:val="auto"/>
                <w:szCs w:val="21"/>
              </w:rPr>
              <w:t>评价因子和评价标准表</w:t>
            </w:r>
          </w:p>
          <w:tbl>
            <w:tblPr>
              <w:tblStyle w:val="29"/>
              <w:tblW w:w="95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45"/>
              <w:gridCol w:w="1123"/>
              <w:gridCol w:w="1527"/>
              <w:gridCol w:w="5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jc w:val="center"/>
              </w:trPr>
              <w:tc>
                <w:tcPr>
                  <w:tcW w:w="707" w:type="pct"/>
                  <w:shd w:val="clear" w:color="auto" w:fill="auto"/>
                  <w:vAlign w:val="center"/>
                </w:tcPr>
                <w:p>
                  <w:pPr>
                    <w:jc w:val="center"/>
                    <w:rPr>
                      <w:bCs/>
                      <w:color w:val="auto"/>
                      <w:szCs w:val="21"/>
                    </w:rPr>
                  </w:pPr>
                  <w:r>
                    <w:rPr>
                      <w:bCs/>
                      <w:color w:val="auto"/>
                      <w:szCs w:val="21"/>
                    </w:rPr>
                    <w:t>评价因子</w:t>
                  </w:r>
                </w:p>
              </w:tc>
              <w:tc>
                <w:tcPr>
                  <w:tcW w:w="590" w:type="pct"/>
                  <w:shd w:val="clear" w:color="auto" w:fill="auto"/>
                  <w:vAlign w:val="center"/>
                </w:tcPr>
                <w:p>
                  <w:pPr>
                    <w:jc w:val="center"/>
                    <w:rPr>
                      <w:bCs/>
                      <w:color w:val="auto"/>
                      <w:szCs w:val="21"/>
                    </w:rPr>
                  </w:pPr>
                  <w:r>
                    <w:rPr>
                      <w:bCs/>
                      <w:color w:val="auto"/>
                      <w:szCs w:val="21"/>
                    </w:rPr>
                    <w:t>平均时段</w:t>
                  </w:r>
                </w:p>
              </w:tc>
              <w:tc>
                <w:tcPr>
                  <w:tcW w:w="802" w:type="pct"/>
                  <w:shd w:val="clear" w:color="auto" w:fill="auto"/>
                  <w:vAlign w:val="center"/>
                </w:tcPr>
                <w:p>
                  <w:pPr>
                    <w:jc w:val="center"/>
                    <w:rPr>
                      <w:bCs/>
                      <w:color w:val="auto"/>
                      <w:szCs w:val="21"/>
                    </w:rPr>
                  </w:pPr>
                  <w:r>
                    <w:rPr>
                      <w:bCs/>
                      <w:color w:val="auto"/>
                      <w:szCs w:val="21"/>
                    </w:rPr>
                    <w:t>标准值ug/m</w:t>
                  </w:r>
                  <w:r>
                    <w:rPr>
                      <w:bCs/>
                      <w:color w:val="auto"/>
                      <w:szCs w:val="21"/>
                      <w:vertAlign w:val="superscript"/>
                    </w:rPr>
                    <w:t>3</w:t>
                  </w:r>
                </w:p>
              </w:tc>
              <w:tc>
                <w:tcPr>
                  <w:tcW w:w="2901" w:type="pct"/>
                  <w:shd w:val="clear" w:color="auto" w:fill="auto"/>
                  <w:vAlign w:val="center"/>
                </w:tcPr>
                <w:p>
                  <w:pPr>
                    <w:jc w:val="center"/>
                    <w:rPr>
                      <w:bCs/>
                      <w:color w:val="auto"/>
                      <w:szCs w:val="21"/>
                    </w:rPr>
                  </w:pPr>
                  <w:r>
                    <w:rPr>
                      <w:bCs/>
                      <w:color w:val="auto"/>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7" w:type="pct"/>
                  <w:shd w:val="clear" w:color="auto" w:fill="auto"/>
                  <w:vAlign w:val="center"/>
                </w:tcPr>
                <w:p>
                  <w:pPr>
                    <w:jc w:val="center"/>
                    <w:rPr>
                      <w:bCs/>
                      <w:color w:val="auto"/>
                      <w:szCs w:val="21"/>
                    </w:rPr>
                  </w:pPr>
                  <w:r>
                    <w:rPr>
                      <w:color w:val="auto"/>
                      <w:szCs w:val="21"/>
                    </w:rPr>
                    <w:t>PM</w:t>
                  </w:r>
                  <w:r>
                    <w:rPr>
                      <w:color w:val="auto"/>
                      <w:szCs w:val="21"/>
                      <w:vertAlign w:val="subscript"/>
                    </w:rPr>
                    <w:t>10</w:t>
                  </w:r>
                </w:p>
              </w:tc>
              <w:tc>
                <w:tcPr>
                  <w:tcW w:w="590" w:type="pct"/>
                  <w:shd w:val="clear" w:color="auto" w:fill="auto"/>
                  <w:vAlign w:val="center"/>
                </w:tcPr>
                <w:p>
                  <w:pPr>
                    <w:jc w:val="center"/>
                    <w:rPr>
                      <w:bCs/>
                      <w:color w:val="auto"/>
                      <w:szCs w:val="21"/>
                    </w:rPr>
                  </w:pPr>
                  <w:r>
                    <w:rPr>
                      <w:bCs/>
                      <w:color w:val="auto"/>
                      <w:szCs w:val="21"/>
                    </w:rPr>
                    <w:t>小时</w:t>
                  </w:r>
                </w:p>
              </w:tc>
              <w:tc>
                <w:tcPr>
                  <w:tcW w:w="802" w:type="pct"/>
                  <w:shd w:val="clear" w:color="auto" w:fill="auto"/>
                  <w:vAlign w:val="center"/>
                </w:tcPr>
                <w:p>
                  <w:pPr>
                    <w:jc w:val="center"/>
                    <w:rPr>
                      <w:bCs/>
                      <w:color w:val="auto"/>
                      <w:szCs w:val="21"/>
                    </w:rPr>
                  </w:pPr>
                  <w:r>
                    <w:rPr>
                      <w:bCs/>
                      <w:color w:val="auto"/>
                      <w:szCs w:val="21"/>
                    </w:rPr>
                    <w:t>450</w:t>
                  </w:r>
                </w:p>
              </w:tc>
              <w:tc>
                <w:tcPr>
                  <w:tcW w:w="2901" w:type="pct"/>
                  <w:shd w:val="clear" w:color="auto" w:fill="auto"/>
                  <w:vAlign w:val="center"/>
                </w:tcPr>
                <w:p>
                  <w:pPr>
                    <w:jc w:val="center"/>
                    <w:rPr>
                      <w:bCs/>
                      <w:color w:val="auto"/>
                      <w:szCs w:val="21"/>
                    </w:rPr>
                  </w:pPr>
                  <w:r>
                    <w:rPr>
                      <w:color w:val="auto"/>
                      <w:szCs w:val="21"/>
                    </w:rPr>
                    <w:t>《环境空气质量标准》（GB3095-2012）</w:t>
                  </w:r>
                  <w:r>
                    <w:rPr>
                      <w:rFonts w:hint="eastAsia"/>
                      <w:color w:val="auto"/>
                      <w:szCs w:val="21"/>
                    </w:rPr>
                    <w:t>及其修改单</w:t>
                  </w:r>
                  <w:r>
                    <w:rPr>
                      <w:color w:val="auto"/>
                      <w:szCs w:val="21"/>
                    </w:rPr>
                    <w:t>中的二级标准</w:t>
                  </w:r>
                </w:p>
              </w:tc>
            </w:tr>
          </w:tbl>
          <w:p>
            <w:pPr>
              <w:widowControl/>
              <w:spacing w:line="360" w:lineRule="auto"/>
              <w:jc w:val="center"/>
              <w:rPr>
                <w:b/>
                <w:color w:val="auto"/>
                <w:szCs w:val="21"/>
              </w:rPr>
            </w:pPr>
          </w:p>
          <w:p>
            <w:pPr>
              <w:widowControl/>
              <w:spacing w:line="360" w:lineRule="auto"/>
              <w:jc w:val="center"/>
              <w:rPr>
                <w:b/>
                <w:bCs/>
                <w:color w:val="auto"/>
                <w:szCs w:val="21"/>
              </w:rPr>
            </w:pPr>
            <w:r>
              <w:rPr>
                <w:b/>
                <w:color w:val="auto"/>
                <w:szCs w:val="21"/>
              </w:rPr>
              <w:t>表</w:t>
            </w:r>
            <w:r>
              <w:rPr>
                <w:rFonts w:hint="eastAsia"/>
                <w:b/>
                <w:bCs/>
                <w:color w:val="auto"/>
                <w:szCs w:val="21"/>
              </w:rPr>
              <w:t>7-</w:t>
            </w:r>
            <w:r>
              <w:rPr>
                <w:b/>
                <w:bCs/>
                <w:color w:val="auto"/>
                <w:szCs w:val="21"/>
              </w:rPr>
              <w:t>3估算模型参数表</w:t>
            </w:r>
          </w:p>
          <w:tbl>
            <w:tblPr>
              <w:tblStyle w:val="2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27"/>
              <w:gridCol w:w="3087"/>
              <w:gridCol w:w="39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942" w:type="pct"/>
                  <w:gridSpan w:val="2"/>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参数</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取值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color w:val="auto"/>
                      <w:kern w:val="0"/>
                      <w:szCs w:val="21"/>
                      <w:lang w:bidi="he-IL"/>
                    </w:rPr>
                  </w:pPr>
                  <w:r>
                    <w:rPr>
                      <w:color w:val="auto"/>
                      <w:kern w:val="0"/>
                      <w:szCs w:val="21"/>
                      <w:lang w:bidi="he-IL"/>
                    </w:rPr>
                    <w:t>城市/农村选项</w:t>
                  </w: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城市/农村</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rFonts w:hint="eastAsia"/>
                      <w:color w:val="auto"/>
                      <w:kern w:val="0"/>
                      <w:szCs w:val="21"/>
                      <w:lang w:bidi="he-IL"/>
                    </w:rPr>
                    <w:t>农村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continue"/>
                  <w:tcBorders>
                    <w:top w:val="single" w:color="auto" w:sz="4" w:space="0"/>
                    <w:left w:val="single" w:color="auto" w:sz="4" w:space="0"/>
                    <w:bottom w:val="single" w:color="auto" w:sz="4" w:space="0"/>
                    <w:right w:val="single" w:color="auto" w:sz="4" w:space="0"/>
                  </w:tcBorders>
                  <w:vAlign w:val="center"/>
                </w:tcPr>
                <w:p>
                  <w:pPr>
                    <w:widowControl/>
                    <w:ind w:firstLine="425"/>
                    <w:jc w:val="left"/>
                    <w:rPr>
                      <w:color w:val="auto"/>
                      <w:szCs w:val="21"/>
                    </w:rPr>
                  </w:pP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人口数（城市选项时）</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942" w:type="pct"/>
                  <w:gridSpan w:val="2"/>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最高环境温度/</w:t>
                  </w:r>
                  <w:r>
                    <w:rPr>
                      <w:rFonts w:hint="eastAsia" w:ascii="宋体" w:hAnsi="宋体" w:cs="宋体"/>
                      <w:color w:val="auto"/>
                      <w:kern w:val="0"/>
                      <w:szCs w:val="21"/>
                      <w:lang w:bidi="he-IL"/>
                    </w:rPr>
                    <w:t>℃</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38.1</w:t>
                  </w:r>
                </w:p>
                <w:p>
                  <w:pPr>
                    <w:autoSpaceDE w:val="0"/>
                    <w:autoSpaceDN w:val="0"/>
                    <w:ind w:firstLine="480"/>
                    <w:jc w:val="center"/>
                    <w:rPr>
                      <w:color w:val="auto"/>
                      <w:kern w:val="0"/>
                      <w:szCs w:val="21"/>
                      <w:lang w:bidi="he-I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942" w:type="pct"/>
                  <w:gridSpan w:val="2"/>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最低环境温度/</w:t>
                  </w:r>
                  <w:r>
                    <w:rPr>
                      <w:rFonts w:hint="eastAsia" w:ascii="宋体" w:hAnsi="宋体" w:cs="宋体"/>
                      <w:color w:val="auto"/>
                      <w:kern w:val="0"/>
                      <w:szCs w:val="21"/>
                      <w:lang w:bidi="he-IL"/>
                    </w:rPr>
                    <w:t>℃</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0.4</w:t>
                  </w:r>
                </w:p>
                <w:p>
                  <w:pPr>
                    <w:autoSpaceDE w:val="0"/>
                    <w:autoSpaceDN w:val="0"/>
                    <w:ind w:firstLine="480"/>
                    <w:jc w:val="center"/>
                    <w:rPr>
                      <w:color w:val="auto"/>
                      <w:kern w:val="0"/>
                      <w:szCs w:val="21"/>
                      <w:lang w:bidi="he-I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942" w:type="pct"/>
                  <w:gridSpan w:val="2"/>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土地利用类型</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rFonts w:hint="eastAsia"/>
                      <w:color w:val="auto"/>
                      <w:kern w:val="0"/>
                      <w:szCs w:val="21"/>
                      <w:lang w:bidi="he-IL"/>
                    </w:rPr>
                    <w:t>农作地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2942" w:type="pct"/>
                  <w:gridSpan w:val="2"/>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区域湿度条件</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color w:val="auto"/>
                      <w:kern w:val="0"/>
                      <w:szCs w:val="21"/>
                      <w:lang w:bidi="he-IL"/>
                    </w:rPr>
                  </w:pPr>
                  <w:r>
                    <w:rPr>
                      <w:color w:val="auto"/>
                      <w:kern w:val="0"/>
                      <w:szCs w:val="21"/>
                      <w:lang w:bidi="he-IL"/>
                    </w:rPr>
                    <w:t>是否考虑地形</w:t>
                  </w: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考虑地形</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360"/>
                    <w:jc w:val="center"/>
                    <w:rPr>
                      <w:color w:val="auto"/>
                      <w:kern w:val="0"/>
                      <w:szCs w:val="21"/>
                      <w:lang w:bidi="he-IL"/>
                    </w:rPr>
                  </w:pPr>
                  <w:r>
                    <w:rPr>
                      <w:color w:val="auto"/>
                      <w:spacing w:val="34"/>
                      <w:kern w:val="0"/>
                      <w:szCs w:val="21"/>
                      <w:lang w:bidi="he-IL"/>
                    </w:rPr>
                    <w:sym w:font="Wingdings 2" w:char="F0A3"/>
                  </w:r>
                  <w:r>
                    <w:rPr>
                      <w:color w:val="auto"/>
                      <w:kern w:val="0"/>
                      <w:szCs w:val="21"/>
                      <w:lang w:bidi="he-IL"/>
                    </w:rPr>
                    <w:t>是</w:t>
                  </w:r>
                  <w:r>
                    <w:rPr>
                      <w:color w:val="auto"/>
                      <w:spacing w:val="34"/>
                      <w:kern w:val="0"/>
                      <w:szCs w:val="21"/>
                      <w:lang w:bidi="he-IL"/>
                    </w:rPr>
                    <w:sym w:font="Wingdings 2" w:char="F052"/>
                  </w:r>
                  <w:r>
                    <w:rPr>
                      <w:color w:val="auto"/>
                      <w:kern w:val="0"/>
                      <w:szCs w:val="21"/>
                      <w:lang w:bidi="he-IL"/>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continue"/>
                  <w:tcBorders>
                    <w:top w:val="single" w:color="auto" w:sz="4" w:space="0"/>
                    <w:left w:val="single" w:color="auto" w:sz="4" w:space="0"/>
                    <w:bottom w:val="single" w:color="auto" w:sz="4" w:space="0"/>
                    <w:right w:val="single" w:color="auto" w:sz="4" w:space="0"/>
                  </w:tcBorders>
                  <w:vAlign w:val="center"/>
                </w:tcPr>
                <w:p>
                  <w:pPr>
                    <w:widowControl/>
                    <w:ind w:firstLine="425"/>
                    <w:jc w:val="left"/>
                    <w:rPr>
                      <w:color w:val="auto"/>
                      <w:szCs w:val="21"/>
                    </w:rPr>
                  </w:pP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地形数据分辨率/m</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90m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restart"/>
                  <w:tcBorders>
                    <w:top w:val="single" w:color="auto" w:sz="4" w:space="0"/>
                    <w:left w:val="single" w:color="auto" w:sz="4" w:space="0"/>
                    <w:bottom w:val="single" w:color="auto" w:sz="4" w:space="0"/>
                    <w:right w:val="single" w:color="auto" w:sz="4" w:space="0"/>
                  </w:tcBorders>
                  <w:vAlign w:val="center"/>
                </w:tcPr>
                <w:p>
                  <w:pPr>
                    <w:autoSpaceDE w:val="0"/>
                    <w:autoSpaceDN w:val="0"/>
                    <w:jc w:val="center"/>
                    <w:rPr>
                      <w:color w:val="auto"/>
                      <w:kern w:val="0"/>
                      <w:szCs w:val="21"/>
                      <w:lang w:bidi="he-IL"/>
                    </w:rPr>
                  </w:pPr>
                  <w:r>
                    <w:rPr>
                      <w:color w:val="auto"/>
                      <w:kern w:val="0"/>
                      <w:szCs w:val="21"/>
                      <w:lang w:bidi="he-IL"/>
                    </w:rPr>
                    <w:t>是否考虑岸线熏烟</w:t>
                  </w: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考虑岸线熏烟</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360"/>
                    <w:jc w:val="center"/>
                    <w:rPr>
                      <w:color w:val="auto"/>
                      <w:kern w:val="0"/>
                      <w:szCs w:val="21"/>
                      <w:lang w:bidi="he-IL"/>
                    </w:rPr>
                  </w:pPr>
                  <w:r>
                    <w:rPr>
                      <w:color w:val="auto"/>
                      <w:spacing w:val="34"/>
                      <w:kern w:val="0"/>
                      <w:szCs w:val="21"/>
                      <w:lang w:bidi="he-IL"/>
                    </w:rPr>
                    <w:sym w:font="Wingdings 2" w:char="F0A3"/>
                  </w:r>
                  <w:r>
                    <w:rPr>
                      <w:color w:val="auto"/>
                      <w:kern w:val="0"/>
                      <w:szCs w:val="21"/>
                      <w:lang w:bidi="he-IL"/>
                    </w:rPr>
                    <w:t>是</w:t>
                  </w:r>
                  <w:r>
                    <w:rPr>
                      <w:color w:val="auto"/>
                      <w:spacing w:val="34"/>
                      <w:kern w:val="0"/>
                      <w:szCs w:val="21"/>
                      <w:lang w:bidi="he-IL"/>
                    </w:rPr>
                    <w:sym w:font="Wingdings 2" w:char="F052"/>
                  </w:r>
                  <w:r>
                    <w:rPr>
                      <w:color w:val="auto"/>
                      <w:kern w:val="0"/>
                      <w:szCs w:val="21"/>
                      <w:lang w:bidi="he-IL"/>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continue"/>
                  <w:tcBorders>
                    <w:top w:val="single" w:color="auto" w:sz="4" w:space="0"/>
                    <w:left w:val="single" w:color="auto" w:sz="4" w:space="0"/>
                    <w:bottom w:val="single" w:color="auto" w:sz="4" w:space="0"/>
                    <w:right w:val="single" w:color="auto" w:sz="4" w:space="0"/>
                  </w:tcBorders>
                  <w:vAlign w:val="center"/>
                </w:tcPr>
                <w:p>
                  <w:pPr>
                    <w:widowControl/>
                    <w:ind w:firstLine="425"/>
                    <w:jc w:val="left"/>
                    <w:rPr>
                      <w:color w:val="auto"/>
                      <w:szCs w:val="21"/>
                    </w:rPr>
                  </w:pP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岸线距离/km</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jc w:val="center"/>
              </w:trPr>
              <w:tc>
                <w:tcPr>
                  <w:tcW w:w="1324" w:type="pct"/>
                  <w:vMerge w:val="continue"/>
                  <w:tcBorders>
                    <w:top w:val="single" w:color="auto" w:sz="4" w:space="0"/>
                    <w:left w:val="single" w:color="auto" w:sz="4" w:space="0"/>
                    <w:bottom w:val="single" w:color="auto" w:sz="4" w:space="0"/>
                    <w:right w:val="single" w:color="auto" w:sz="4" w:space="0"/>
                  </w:tcBorders>
                  <w:vAlign w:val="center"/>
                </w:tcPr>
                <w:p>
                  <w:pPr>
                    <w:widowControl/>
                    <w:ind w:firstLine="425"/>
                    <w:jc w:val="left"/>
                    <w:rPr>
                      <w:color w:val="auto"/>
                      <w:szCs w:val="21"/>
                    </w:rPr>
                  </w:pPr>
                </w:p>
              </w:tc>
              <w:tc>
                <w:tcPr>
                  <w:tcW w:w="161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岸线方向/°</w:t>
                  </w:r>
                </w:p>
              </w:tc>
              <w:tc>
                <w:tcPr>
                  <w:tcW w:w="2058" w:type="pct"/>
                  <w:tcBorders>
                    <w:top w:val="single" w:color="auto" w:sz="4" w:space="0"/>
                    <w:left w:val="single" w:color="auto" w:sz="4" w:space="0"/>
                    <w:bottom w:val="single" w:color="auto" w:sz="4" w:space="0"/>
                    <w:right w:val="single" w:color="auto" w:sz="4" w:space="0"/>
                  </w:tcBorders>
                  <w:vAlign w:val="center"/>
                </w:tcPr>
                <w:p>
                  <w:pPr>
                    <w:autoSpaceDE w:val="0"/>
                    <w:autoSpaceDN w:val="0"/>
                    <w:ind w:firstLine="480"/>
                    <w:jc w:val="center"/>
                    <w:rPr>
                      <w:color w:val="auto"/>
                      <w:kern w:val="0"/>
                      <w:szCs w:val="21"/>
                      <w:lang w:bidi="he-IL"/>
                    </w:rPr>
                  </w:pPr>
                  <w:r>
                    <w:rPr>
                      <w:color w:val="auto"/>
                      <w:kern w:val="0"/>
                      <w:szCs w:val="21"/>
                      <w:lang w:bidi="he-IL"/>
                    </w:rPr>
                    <w:t>/</w:t>
                  </w:r>
                </w:p>
              </w:tc>
            </w:tr>
          </w:tbl>
          <w:p>
            <w:pPr>
              <w:ind w:firstLine="34"/>
              <w:jc w:val="center"/>
              <w:rPr>
                <w:b/>
                <w:bCs/>
                <w:color w:val="auto"/>
                <w:szCs w:val="21"/>
              </w:rPr>
            </w:pPr>
          </w:p>
          <w:p>
            <w:pPr>
              <w:ind w:firstLine="34"/>
              <w:jc w:val="center"/>
              <w:rPr>
                <w:b/>
                <w:bCs/>
                <w:color w:val="auto"/>
                <w:szCs w:val="21"/>
              </w:rPr>
            </w:pPr>
            <w:r>
              <w:rPr>
                <w:b/>
                <w:bCs/>
                <w:color w:val="auto"/>
                <w:szCs w:val="21"/>
              </w:rPr>
              <w:t>表</w:t>
            </w:r>
            <w:r>
              <w:rPr>
                <w:rFonts w:hint="eastAsia"/>
                <w:b/>
                <w:color w:val="auto"/>
                <w:szCs w:val="21"/>
              </w:rPr>
              <w:t>7-</w:t>
            </w:r>
            <w:r>
              <w:rPr>
                <w:b/>
                <w:color w:val="auto"/>
                <w:szCs w:val="21"/>
              </w:rPr>
              <w:t>4</w:t>
            </w:r>
            <w:r>
              <w:rPr>
                <w:b/>
                <w:bCs/>
                <w:color w:val="auto"/>
                <w:szCs w:val="21"/>
              </w:rPr>
              <w:t>建设项目大气污染物排放计算参数表（点源）</w:t>
            </w:r>
          </w:p>
          <w:tbl>
            <w:tblPr>
              <w:tblStyle w:val="29"/>
              <w:tblW w:w="9041" w:type="dxa"/>
              <w:jc w:val="center"/>
              <w:tblLayout w:type="fixed"/>
              <w:tblCellMar>
                <w:top w:w="0" w:type="dxa"/>
                <w:left w:w="28" w:type="dxa"/>
                <w:bottom w:w="0" w:type="dxa"/>
                <w:right w:w="28" w:type="dxa"/>
              </w:tblCellMar>
            </w:tblPr>
            <w:tblGrid>
              <w:gridCol w:w="1638"/>
              <w:gridCol w:w="774"/>
              <w:gridCol w:w="782"/>
              <w:gridCol w:w="950"/>
              <w:gridCol w:w="912"/>
              <w:gridCol w:w="914"/>
              <w:gridCol w:w="839"/>
              <w:gridCol w:w="1221"/>
              <w:gridCol w:w="1011"/>
            </w:tblGrid>
            <w:tr>
              <w:tblPrEx>
                <w:tblCellMar>
                  <w:top w:w="0" w:type="dxa"/>
                  <w:left w:w="28" w:type="dxa"/>
                  <w:bottom w:w="0" w:type="dxa"/>
                  <w:right w:w="28" w:type="dxa"/>
                </w:tblCellMar>
              </w:tblPrEx>
              <w:trPr>
                <w:trHeight w:val="215" w:hRule="atLeast"/>
                <w:jc w:val="center"/>
              </w:trPr>
              <w:tc>
                <w:tcPr>
                  <w:tcW w:w="1638" w:type="dxa"/>
                  <w:vMerge w:val="restart"/>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r>
                    <w:rPr>
                      <w:color w:val="auto"/>
                      <w:szCs w:val="21"/>
                    </w:rPr>
                    <w:t>类型</w:t>
                  </w:r>
                </w:p>
              </w:tc>
              <w:tc>
                <w:tcPr>
                  <w:tcW w:w="774" w:type="dxa"/>
                  <w:vMerge w:val="restart"/>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r>
                    <w:rPr>
                      <w:color w:val="auto"/>
                      <w:szCs w:val="21"/>
                    </w:rPr>
                    <w:t>排气筒高度</w:t>
                  </w:r>
                </w:p>
              </w:tc>
              <w:tc>
                <w:tcPr>
                  <w:tcW w:w="782" w:type="dxa"/>
                  <w:vMerge w:val="restart"/>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r>
                    <w:rPr>
                      <w:color w:val="auto"/>
                      <w:szCs w:val="21"/>
                    </w:rPr>
                    <w:t>排气筒内径</w:t>
                  </w:r>
                </w:p>
              </w:tc>
              <w:tc>
                <w:tcPr>
                  <w:tcW w:w="950" w:type="dxa"/>
                  <w:vMerge w:val="restart"/>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r>
                    <w:rPr>
                      <w:color w:val="auto"/>
                      <w:szCs w:val="21"/>
                    </w:rPr>
                    <w:t>废气出口流量</w:t>
                  </w:r>
                </w:p>
              </w:tc>
              <w:tc>
                <w:tcPr>
                  <w:tcW w:w="912" w:type="dxa"/>
                  <w:vMerge w:val="restart"/>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r>
                    <w:rPr>
                      <w:color w:val="auto"/>
                      <w:szCs w:val="21"/>
                    </w:rPr>
                    <w:t>废气出口温度</w:t>
                  </w:r>
                </w:p>
              </w:tc>
              <w:tc>
                <w:tcPr>
                  <w:tcW w:w="914" w:type="dxa"/>
                  <w:vMerge w:val="restart"/>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r>
                    <w:rPr>
                      <w:color w:val="auto"/>
                      <w:szCs w:val="21"/>
                    </w:rPr>
                    <w:t>年排放小时数</w:t>
                  </w:r>
                </w:p>
              </w:tc>
              <w:tc>
                <w:tcPr>
                  <w:tcW w:w="839" w:type="dxa"/>
                  <w:vMerge w:val="restart"/>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r>
                    <w:rPr>
                      <w:color w:val="auto"/>
                      <w:szCs w:val="21"/>
                    </w:rPr>
                    <w:t>排放工况</w:t>
                  </w:r>
                </w:p>
              </w:tc>
              <w:tc>
                <w:tcPr>
                  <w:tcW w:w="2232" w:type="dxa"/>
                  <w:gridSpan w:val="2"/>
                  <w:tcBorders>
                    <w:top w:val="single" w:color="auto" w:sz="8" w:space="0"/>
                    <w:left w:val="nil"/>
                    <w:bottom w:val="single" w:color="auto" w:sz="8" w:space="0"/>
                    <w:right w:val="single" w:color="auto" w:sz="4" w:space="0"/>
                  </w:tcBorders>
                  <w:vAlign w:val="center"/>
                </w:tcPr>
                <w:p>
                  <w:pPr>
                    <w:widowControl/>
                    <w:ind w:firstLine="34"/>
                    <w:jc w:val="center"/>
                    <w:rPr>
                      <w:color w:val="auto"/>
                      <w:szCs w:val="21"/>
                    </w:rPr>
                  </w:pPr>
                  <w:r>
                    <w:rPr>
                      <w:color w:val="auto"/>
                      <w:szCs w:val="21"/>
                    </w:rPr>
                    <w:t>评价因子源强</w:t>
                  </w:r>
                  <w:r>
                    <w:rPr>
                      <w:rFonts w:hint="eastAsia"/>
                      <w:color w:val="auto"/>
                      <w:szCs w:val="21"/>
                    </w:rPr>
                    <w:t>（</w:t>
                  </w:r>
                  <w:r>
                    <w:rPr>
                      <w:color w:val="auto"/>
                      <w:szCs w:val="21"/>
                    </w:rPr>
                    <w:t>kg/h</w:t>
                  </w:r>
                  <w:r>
                    <w:rPr>
                      <w:rFonts w:hint="eastAsia"/>
                      <w:color w:val="auto"/>
                      <w:szCs w:val="21"/>
                    </w:rPr>
                    <w:t>）</w:t>
                  </w:r>
                </w:p>
              </w:tc>
            </w:tr>
            <w:tr>
              <w:tblPrEx>
                <w:tblCellMar>
                  <w:top w:w="0" w:type="dxa"/>
                  <w:left w:w="28" w:type="dxa"/>
                  <w:bottom w:w="0" w:type="dxa"/>
                  <w:right w:w="28" w:type="dxa"/>
                </w:tblCellMar>
              </w:tblPrEx>
              <w:trPr>
                <w:trHeight w:val="215" w:hRule="atLeast"/>
                <w:jc w:val="center"/>
              </w:trPr>
              <w:tc>
                <w:tcPr>
                  <w:tcW w:w="1638" w:type="dxa"/>
                  <w:vMerge w:val="continue"/>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p>
              </w:tc>
              <w:tc>
                <w:tcPr>
                  <w:tcW w:w="774" w:type="dxa"/>
                  <w:vMerge w:val="continue"/>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p>
              </w:tc>
              <w:tc>
                <w:tcPr>
                  <w:tcW w:w="782" w:type="dxa"/>
                  <w:vMerge w:val="continue"/>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p>
              </w:tc>
              <w:tc>
                <w:tcPr>
                  <w:tcW w:w="950" w:type="dxa"/>
                  <w:vMerge w:val="continue"/>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p>
              </w:tc>
              <w:tc>
                <w:tcPr>
                  <w:tcW w:w="912" w:type="dxa"/>
                  <w:vMerge w:val="continue"/>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p>
              </w:tc>
              <w:tc>
                <w:tcPr>
                  <w:tcW w:w="914" w:type="dxa"/>
                  <w:vMerge w:val="continue"/>
                  <w:tcBorders>
                    <w:top w:val="single" w:color="auto" w:sz="8" w:space="0"/>
                    <w:left w:val="single" w:color="auto" w:sz="8" w:space="0"/>
                    <w:bottom w:val="single" w:color="000000" w:sz="8" w:space="0"/>
                    <w:right w:val="single" w:color="auto" w:sz="8" w:space="0"/>
                  </w:tcBorders>
                  <w:vAlign w:val="center"/>
                </w:tcPr>
                <w:p>
                  <w:pPr>
                    <w:widowControl/>
                    <w:ind w:firstLine="34"/>
                    <w:jc w:val="center"/>
                    <w:rPr>
                      <w:color w:val="auto"/>
                      <w:szCs w:val="21"/>
                    </w:rPr>
                  </w:pPr>
                </w:p>
              </w:tc>
              <w:tc>
                <w:tcPr>
                  <w:tcW w:w="839" w:type="dxa"/>
                  <w:vMerge w:val="continue"/>
                  <w:tcBorders>
                    <w:top w:val="single" w:color="auto" w:sz="8" w:space="0"/>
                    <w:left w:val="nil"/>
                    <w:bottom w:val="single" w:color="auto" w:sz="8" w:space="0"/>
                    <w:right w:val="single" w:color="auto" w:sz="8" w:space="0"/>
                  </w:tcBorders>
                  <w:vAlign w:val="center"/>
                </w:tcPr>
                <w:p>
                  <w:pPr>
                    <w:widowControl/>
                    <w:ind w:firstLine="34"/>
                    <w:jc w:val="center"/>
                    <w:rPr>
                      <w:color w:val="auto"/>
                      <w:szCs w:val="21"/>
                    </w:rPr>
                  </w:pPr>
                </w:p>
              </w:tc>
              <w:tc>
                <w:tcPr>
                  <w:tcW w:w="1221" w:type="dxa"/>
                  <w:tcBorders>
                    <w:top w:val="nil"/>
                    <w:left w:val="nil"/>
                    <w:bottom w:val="single" w:color="auto" w:sz="8" w:space="0"/>
                    <w:right w:val="single" w:color="auto" w:sz="4" w:space="0"/>
                  </w:tcBorders>
                  <w:vAlign w:val="center"/>
                </w:tcPr>
                <w:p>
                  <w:pPr>
                    <w:widowControl/>
                    <w:ind w:firstLine="34"/>
                    <w:jc w:val="center"/>
                    <w:rPr>
                      <w:color w:val="auto"/>
                      <w:szCs w:val="21"/>
                    </w:rPr>
                  </w:pPr>
                  <w:r>
                    <w:rPr>
                      <w:color w:val="auto"/>
                      <w:szCs w:val="21"/>
                    </w:rPr>
                    <w:t>PM</w:t>
                  </w:r>
                  <w:r>
                    <w:rPr>
                      <w:color w:val="auto"/>
                      <w:szCs w:val="21"/>
                      <w:vertAlign w:val="subscript"/>
                    </w:rPr>
                    <w:t>10</w:t>
                  </w:r>
                </w:p>
              </w:tc>
              <w:tc>
                <w:tcPr>
                  <w:tcW w:w="1011" w:type="dxa"/>
                  <w:tcBorders>
                    <w:top w:val="nil"/>
                    <w:left w:val="nil"/>
                    <w:bottom w:val="single" w:color="auto" w:sz="8" w:space="0"/>
                    <w:right w:val="single" w:color="auto" w:sz="4" w:space="0"/>
                  </w:tcBorders>
                </w:tcPr>
                <w:p>
                  <w:pPr>
                    <w:widowControl/>
                    <w:ind w:firstLine="34"/>
                    <w:jc w:val="center"/>
                    <w:rPr>
                      <w:color w:val="auto"/>
                      <w:szCs w:val="21"/>
                    </w:rPr>
                  </w:pPr>
                  <w:r>
                    <w:rPr>
                      <w:color w:val="auto"/>
                      <w:szCs w:val="21"/>
                    </w:rPr>
                    <w:t>NO x</w:t>
                  </w:r>
                </w:p>
              </w:tc>
            </w:tr>
            <w:tr>
              <w:tblPrEx>
                <w:tblCellMar>
                  <w:top w:w="0" w:type="dxa"/>
                  <w:left w:w="28" w:type="dxa"/>
                  <w:bottom w:w="0" w:type="dxa"/>
                  <w:right w:w="28" w:type="dxa"/>
                </w:tblCellMar>
              </w:tblPrEx>
              <w:trPr>
                <w:trHeight w:val="213" w:hRule="atLeast"/>
                <w:jc w:val="center"/>
              </w:trPr>
              <w:tc>
                <w:tcPr>
                  <w:tcW w:w="1638" w:type="dxa"/>
                  <w:tcBorders>
                    <w:top w:val="single" w:color="auto" w:sz="4" w:space="0"/>
                    <w:left w:val="single" w:color="auto" w:sz="4" w:space="0"/>
                    <w:bottom w:val="single" w:color="auto" w:sz="4" w:space="0"/>
                    <w:right w:val="single" w:color="auto" w:sz="4" w:space="0"/>
                  </w:tcBorders>
                  <w:vAlign w:val="center"/>
                </w:tcPr>
                <w:p>
                  <w:pPr>
                    <w:widowControl/>
                    <w:ind w:firstLine="34"/>
                    <w:jc w:val="center"/>
                    <w:rPr>
                      <w:color w:val="auto"/>
                      <w:szCs w:val="21"/>
                    </w:rPr>
                  </w:pPr>
                  <w:r>
                    <w:rPr>
                      <w:rFonts w:hint="eastAsia"/>
                      <w:color w:val="auto"/>
                      <w:szCs w:val="21"/>
                    </w:rPr>
                    <w:t>粉料筒仓粉尘</w:t>
                  </w:r>
                </w:p>
              </w:tc>
              <w:tc>
                <w:tcPr>
                  <w:tcW w:w="774" w:type="dxa"/>
                  <w:tcBorders>
                    <w:top w:val="single" w:color="auto" w:sz="4" w:space="0"/>
                    <w:left w:val="single" w:color="auto" w:sz="4" w:space="0"/>
                    <w:bottom w:val="single" w:color="auto" w:sz="4" w:space="0"/>
                    <w:right w:val="single" w:color="auto" w:sz="4" w:space="0"/>
                  </w:tcBorders>
                  <w:vAlign w:val="center"/>
                </w:tcPr>
                <w:p>
                  <w:pPr>
                    <w:widowControl/>
                    <w:ind w:firstLine="34"/>
                    <w:jc w:val="center"/>
                    <w:rPr>
                      <w:color w:val="auto"/>
                      <w:szCs w:val="21"/>
                    </w:rPr>
                  </w:pPr>
                  <w:r>
                    <w:rPr>
                      <w:rFonts w:hint="eastAsia"/>
                      <w:color w:val="auto"/>
                      <w:szCs w:val="21"/>
                    </w:rPr>
                    <w:t>20</w:t>
                  </w:r>
                </w:p>
              </w:tc>
              <w:tc>
                <w:tcPr>
                  <w:tcW w:w="782" w:type="dxa"/>
                  <w:tcBorders>
                    <w:top w:val="single" w:color="auto" w:sz="4" w:space="0"/>
                    <w:left w:val="single" w:color="auto" w:sz="4" w:space="0"/>
                    <w:bottom w:val="single" w:color="auto" w:sz="4" w:space="0"/>
                    <w:right w:val="single" w:color="auto" w:sz="4" w:space="0"/>
                  </w:tcBorders>
                  <w:vAlign w:val="center"/>
                </w:tcPr>
                <w:p>
                  <w:pPr>
                    <w:widowControl/>
                    <w:ind w:firstLine="34"/>
                    <w:jc w:val="center"/>
                    <w:rPr>
                      <w:color w:val="auto"/>
                      <w:szCs w:val="21"/>
                    </w:rPr>
                  </w:pPr>
                  <w:r>
                    <w:rPr>
                      <w:rFonts w:hint="eastAsia"/>
                      <w:color w:val="auto"/>
                      <w:szCs w:val="21"/>
                    </w:rPr>
                    <w:t>0.2</w:t>
                  </w:r>
                </w:p>
              </w:tc>
              <w:tc>
                <w:tcPr>
                  <w:tcW w:w="950" w:type="dxa"/>
                  <w:tcBorders>
                    <w:top w:val="single" w:color="auto" w:sz="4" w:space="0"/>
                    <w:left w:val="single" w:color="auto" w:sz="4" w:space="0"/>
                    <w:bottom w:val="single" w:color="auto" w:sz="4" w:space="0"/>
                    <w:right w:val="single" w:color="auto" w:sz="4" w:space="0"/>
                  </w:tcBorders>
                  <w:vAlign w:val="center"/>
                </w:tcPr>
                <w:p>
                  <w:pPr>
                    <w:spacing w:line="260" w:lineRule="exact"/>
                    <w:ind w:firstLine="34"/>
                    <w:jc w:val="center"/>
                    <w:rPr>
                      <w:color w:val="auto"/>
                      <w:szCs w:val="21"/>
                    </w:rPr>
                  </w:pPr>
                  <w:r>
                    <w:rPr>
                      <w:rFonts w:hint="eastAsia"/>
                      <w:color w:val="auto"/>
                      <w:szCs w:val="21"/>
                    </w:rPr>
                    <w:t>3000</w:t>
                  </w:r>
                </w:p>
              </w:tc>
              <w:tc>
                <w:tcPr>
                  <w:tcW w:w="912" w:type="dxa"/>
                  <w:tcBorders>
                    <w:top w:val="single" w:color="auto" w:sz="4" w:space="0"/>
                    <w:left w:val="single" w:color="auto" w:sz="4" w:space="0"/>
                    <w:bottom w:val="single" w:color="auto" w:sz="4" w:space="0"/>
                    <w:right w:val="single" w:color="auto" w:sz="4" w:space="0"/>
                  </w:tcBorders>
                  <w:vAlign w:val="center"/>
                </w:tcPr>
                <w:p>
                  <w:pPr>
                    <w:widowControl/>
                    <w:ind w:firstLine="34"/>
                    <w:jc w:val="center"/>
                    <w:rPr>
                      <w:color w:val="auto"/>
                      <w:szCs w:val="21"/>
                    </w:rPr>
                  </w:pPr>
                  <w:r>
                    <w:rPr>
                      <w:rFonts w:hint="eastAsia"/>
                      <w:color w:val="auto"/>
                      <w:szCs w:val="21"/>
                    </w:rPr>
                    <w:t>20</w:t>
                  </w:r>
                </w:p>
              </w:tc>
              <w:tc>
                <w:tcPr>
                  <w:tcW w:w="914" w:type="dxa"/>
                  <w:tcBorders>
                    <w:top w:val="single" w:color="auto" w:sz="4" w:space="0"/>
                    <w:left w:val="single" w:color="auto" w:sz="4" w:space="0"/>
                    <w:bottom w:val="single" w:color="auto" w:sz="4" w:space="0"/>
                    <w:right w:val="single" w:color="auto" w:sz="4" w:space="0"/>
                  </w:tcBorders>
                  <w:vAlign w:val="center"/>
                </w:tcPr>
                <w:p>
                  <w:pPr>
                    <w:ind w:firstLine="34"/>
                    <w:jc w:val="center"/>
                    <w:rPr>
                      <w:color w:val="auto"/>
                      <w:szCs w:val="21"/>
                    </w:rPr>
                  </w:pPr>
                  <w:r>
                    <w:rPr>
                      <w:color w:val="auto"/>
                      <w:szCs w:val="21"/>
                    </w:rPr>
                    <w:t>5280</w:t>
                  </w:r>
                </w:p>
              </w:tc>
              <w:tc>
                <w:tcPr>
                  <w:tcW w:w="839" w:type="dxa"/>
                  <w:tcBorders>
                    <w:top w:val="single" w:color="auto" w:sz="4" w:space="0"/>
                    <w:left w:val="single" w:color="auto" w:sz="4" w:space="0"/>
                    <w:bottom w:val="single" w:color="auto" w:sz="4" w:space="0"/>
                    <w:right w:val="single" w:color="auto" w:sz="4" w:space="0"/>
                  </w:tcBorders>
                  <w:vAlign w:val="center"/>
                </w:tcPr>
                <w:p>
                  <w:pPr>
                    <w:widowControl/>
                    <w:ind w:firstLine="34"/>
                    <w:jc w:val="center"/>
                    <w:rPr>
                      <w:color w:val="auto"/>
                      <w:szCs w:val="21"/>
                    </w:rPr>
                  </w:pPr>
                  <w:r>
                    <w:rPr>
                      <w:color w:val="auto"/>
                      <w:szCs w:val="21"/>
                    </w:rPr>
                    <w:t>正常</w:t>
                  </w:r>
                </w:p>
              </w:tc>
              <w:tc>
                <w:tcPr>
                  <w:tcW w:w="1221" w:type="dxa"/>
                  <w:tcBorders>
                    <w:top w:val="single" w:color="auto" w:sz="4" w:space="0"/>
                    <w:left w:val="single" w:color="auto" w:sz="4" w:space="0"/>
                    <w:bottom w:val="single" w:color="auto" w:sz="4" w:space="0"/>
                    <w:right w:val="single" w:color="auto" w:sz="4" w:space="0"/>
                  </w:tcBorders>
                  <w:vAlign w:val="center"/>
                </w:tcPr>
                <w:p>
                  <w:pPr>
                    <w:ind w:firstLine="34"/>
                    <w:jc w:val="center"/>
                    <w:rPr>
                      <w:color w:val="auto"/>
                      <w:szCs w:val="21"/>
                    </w:rPr>
                  </w:pPr>
                  <w:r>
                    <w:rPr>
                      <w:color w:val="auto"/>
                      <w:szCs w:val="21"/>
                    </w:rPr>
                    <w:t>0.071</w:t>
                  </w:r>
                </w:p>
              </w:tc>
              <w:tc>
                <w:tcPr>
                  <w:tcW w:w="1011" w:type="dxa"/>
                  <w:tcBorders>
                    <w:top w:val="single" w:color="auto" w:sz="4" w:space="0"/>
                    <w:left w:val="single" w:color="auto" w:sz="4" w:space="0"/>
                    <w:bottom w:val="single" w:color="auto" w:sz="4" w:space="0"/>
                    <w:right w:val="single" w:color="auto" w:sz="4" w:space="0"/>
                  </w:tcBorders>
                </w:tcPr>
                <w:p>
                  <w:pPr>
                    <w:ind w:firstLine="34"/>
                    <w:jc w:val="center"/>
                    <w:rPr>
                      <w:color w:val="auto"/>
                      <w:szCs w:val="21"/>
                    </w:rPr>
                  </w:pPr>
                  <w:r>
                    <w:rPr>
                      <w:rFonts w:hint="eastAsia"/>
                      <w:color w:val="auto"/>
                      <w:szCs w:val="21"/>
                    </w:rPr>
                    <w:t>/</w:t>
                  </w:r>
                </w:p>
              </w:tc>
            </w:tr>
            <w:tr>
              <w:tblPrEx>
                <w:tblCellMar>
                  <w:top w:w="0" w:type="dxa"/>
                  <w:left w:w="28" w:type="dxa"/>
                  <w:bottom w:w="0" w:type="dxa"/>
                  <w:right w:w="28" w:type="dxa"/>
                </w:tblCellMar>
              </w:tblPrEx>
              <w:trPr>
                <w:trHeight w:val="213" w:hRule="atLeast"/>
                <w:jc w:val="center"/>
              </w:trPr>
              <w:tc>
                <w:tcPr>
                  <w:tcW w:w="1638" w:type="dxa"/>
                  <w:tcBorders>
                    <w:top w:val="nil"/>
                    <w:left w:val="single" w:color="auto" w:sz="8" w:space="0"/>
                    <w:bottom w:val="single" w:color="auto" w:sz="4" w:space="0"/>
                    <w:right w:val="single" w:color="auto" w:sz="8" w:space="0"/>
                  </w:tcBorders>
                  <w:vAlign w:val="center"/>
                </w:tcPr>
                <w:p>
                  <w:pPr>
                    <w:widowControl/>
                    <w:ind w:firstLine="34"/>
                    <w:jc w:val="center"/>
                    <w:rPr>
                      <w:color w:val="auto"/>
                      <w:szCs w:val="21"/>
                    </w:rPr>
                  </w:pPr>
                  <w:r>
                    <w:rPr>
                      <w:rFonts w:hint="eastAsia"/>
                      <w:color w:val="auto"/>
                      <w:szCs w:val="21"/>
                    </w:rPr>
                    <w:t>制砂生产线粉尘</w:t>
                  </w:r>
                </w:p>
              </w:tc>
              <w:tc>
                <w:tcPr>
                  <w:tcW w:w="774"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15</w:t>
                  </w:r>
                </w:p>
              </w:tc>
              <w:tc>
                <w:tcPr>
                  <w:tcW w:w="782" w:type="dxa"/>
                  <w:tcBorders>
                    <w:top w:val="nil"/>
                    <w:left w:val="nil"/>
                    <w:bottom w:val="single" w:color="auto" w:sz="4" w:space="0"/>
                    <w:right w:val="single" w:color="auto" w:sz="8" w:space="0"/>
                  </w:tcBorders>
                  <w:vAlign w:val="center"/>
                </w:tcPr>
                <w:p>
                  <w:pPr>
                    <w:widowControl/>
                    <w:ind w:firstLine="34"/>
                    <w:jc w:val="center"/>
                    <w:rPr>
                      <w:color w:val="auto"/>
                      <w:szCs w:val="21"/>
                    </w:rPr>
                  </w:pPr>
                  <w:r>
                    <w:rPr>
                      <w:rFonts w:hint="eastAsia"/>
                      <w:color w:val="auto"/>
                      <w:szCs w:val="21"/>
                    </w:rPr>
                    <w:t>0.6</w:t>
                  </w:r>
                </w:p>
              </w:tc>
              <w:tc>
                <w:tcPr>
                  <w:tcW w:w="950" w:type="dxa"/>
                  <w:tcBorders>
                    <w:top w:val="nil"/>
                    <w:left w:val="nil"/>
                    <w:bottom w:val="single" w:color="auto" w:sz="4" w:space="0"/>
                    <w:right w:val="single" w:color="auto" w:sz="8" w:space="0"/>
                  </w:tcBorders>
                  <w:vAlign w:val="center"/>
                </w:tcPr>
                <w:p>
                  <w:pPr>
                    <w:spacing w:line="260" w:lineRule="exact"/>
                    <w:ind w:firstLine="34"/>
                    <w:jc w:val="center"/>
                    <w:rPr>
                      <w:color w:val="auto"/>
                      <w:szCs w:val="21"/>
                    </w:rPr>
                  </w:pPr>
                  <w:r>
                    <w:rPr>
                      <w:color w:val="auto"/>
                      <w:szCs w:val="21"/>
                    </w:rPr>
                    <w:t>30000</w:t>
                  </w:r>
                </w:p>
              </w:tc>
              <w:tc>
                <w:tcPr>
                  <w:tcW w:w="912" w:type="dxa"/>
                  <w:tcBorders>
                    <w:top w:val="nil"/>
                    <w:left w:val="nil"/>
                    <w:bottom w:val="single" w:color="auto" w:sz="4" w:space="0"/>
                    <w:right w:val="single" w:color="auto" w:sz="8" w:space="0"/>
                  </w:tcBorders>
                  <w:vAlign w:val="center"/>
                </w:tcPr>
                <w:p>
                  <w:pPr>
                    <w:widowControl/>
                    <w:ind w:firstLine="34"/>
                    <w:jc w:val="center"/>
                    <w:rPr>
                      <w:color w:val="auto"/>
                      <w:szCs w:val="21"/>
                    </w:rPr>
                  </w:pPr>
                  <w:r>
                    <w:rPr>
                      <w:rFonts w:hint="eastAsia"/>
                      <w:color w:val="auto"/>
                      <w:szCs w:val="21"/>
                    </w:rPr>
                    <w:t>20</w:t>
                  </w:r>
                </w:p>
              </w:tc>
              <w:tc>
                <w:tcPr>
                  <w:tcW w:w="914" w:type="dxa"/>
                  <w:tcBorders>
                    <w:top w:val="nil"/>
                    <w:left w:val="nil"/>
                    <w:bottom w:val="single" w:color="auto" w:sz="4" w:space="0"/>
                    <w:right w:val="single" w:color="auto" w:sz="8" w:space="0"/>
                  </w:tcBorders>
                  <w:vAlign w:val="center"/>
                </w:tcPr>
                <w:p>
                  <w:pPr>
                    <w:ind w:firstLine="34"/>
                    <w:jc w:val="center"/>
                    <w:rPr>
                      <w:color w:val="auto"/>
                      <w:szCs w:val="21"/>
                    </w:rPr>
                  </w:pPr>
                  <w:r>
                    <w:rPr>
                      <w:color w:val="auto"/>
                      <w:szCs w:val="21"/>
                    </w:rPr>
                    <w:t>5280</w:t>
                  </w:r>
                </w:p>
              </w:tc>
              <w:tc>
                <w:tcPr>
                  <w:tcW w:w="839"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正常</w:t>
                  </w:r>
                </w:p>
              </w:tc>
              <w:tc>
                <w:tcPr>
                  <w:tcW w:w="1221" w:type="dxa"/>
                  <w:tcBorders>
                    <w:top w:val="nil"/>
                    <w:left w:val="nil"/>
                    <w:bottom w:val="single" w:color="auto" w:sz="4" w:space="0"/>
                    <w:right w:val="single" w:color="auto" w:sz="4" w:space="0"/>
                  </w:tcBorders>
                  <w:vAlign w:val="center"/>
                </w:tcPr>
                <w:p>
                  <w:pPr>
                    <w:ind w:firstLine="34"/>
                    <w:jc w:val="center"/>
                    <w:rPr>
                      <w:color w:val="auto"/>
                      <w:szCs w:val="21"/>
                    </w:rPr>
                  </w:pPr>
                  <w:r>
                    <w:rPr>
                      <w:color w:val="auto"/>
                      <w:szCs w:val="21"/>
                    </w:rPr>
                    <w:t>0.07</w:t>
                  </w:r>
                </w:p>
              </w:tc>
              <w:tc>
                <w:tcPr>
                  <w:tcW w:w="1011" w:type="dxa"/>
                  <w:tcBorders>
                    <w:top w:val="nil"/>
                    <w:left w:val="nil"/>
                    <w:bottom w:val="single" w:color="auto" w:sz="4" w:space="0"/>
                    <w:right w:val="single" w:color="auto" w:sz="4" w:space="0"/>
                  </w:tcBorders>
                </w:tcPr>
                <w:p>
                  <w:pPr>
                    <w:ind w:firstLine="34"/>
                    <w:jc w:val="center"/>
                    <w:rPr>
                      <w:color w:val="auto"/>
                      <w:szCs w:val="21"/>
                    </w:rPr>
                  </w:pPr>
                  <w:r>
                    <w:rPr>
                      <w:rFonts w:hint="eastAsia"/>
                      <w:color w:val="auto"/>
                      <w:szCs w:val="21"/>
                    </w:rPr>
                    <w:t>/</w:t>
                  </w:r>
                </w:p>
              </w:tc>
            </w:tr>
            <w:tr>
              <w:tblPrEx>
                <w:tblCellMar>
                  <w:top w:w="0" w:type="dxa"/>
                  <w:left w:w="28" w:type="dxa"/>
                  <w:bottom w:w="0" w:type="dxa"/>
                  <w:right w:w="28" w:type="dxa"/>
                </w:tblCellMar>
              </w:tblPrEx>
              <w:trPr>
                <w:trHeight w:val="213" w:hRule="atLeast"/>
                <w:jc w:val="center"/>
              </w:trPr>
              <w:tc>
                <w:tcPr>
                  <w:tcW w:w="1638" w:type="dxa"/>
                  <w:tcBorders>
                    <w:top w:val="nil"/>
                    <w:left w:val="single" w:color="auto" w:sz="8" w:space="0"/>
                    <w:bottom w:val="single" w:color="auto" w:sz="4" w:space="0"/>
                    <w:right w:val="single" w:color="auto" w:sz="8" w:space="0"/>
                  </w:tcBorders>
                  <w:vAlign w:val="center"/>
                </w:tcPr>
                <w:p>
                  <w:pPr>
                    <w:widowControl/>
                    <w:ind w:firstLine="34"/>
                    <w:jc w:val="center"/>
                    <w:rPr>
                      <w:color w:val="auto"/>
                      <w:szCs w:val="21"/>
                    </w:rPr>
                  </w:pPr>
                  <w:r>
                    <w:rPr>
                      <w:color w:val="auto"/>
                      <w:szCs w:val="21"/>
                    </w:rPr>
                    <w:t>发电机尾气</w:t>
                  </w:r>
                </w:p>
              </w:tc>
              <w:tc>
                <w:tcPr>
                  <w:tcW w:w="774"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15</w:t>
                  </w:r>
                </w:p>
              </w:tc>
              <w:tc>
                <w:tcPr>
                  <w:tcW w:w="782"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0.2</w:t>
                  </w:r>
                </w:p>
              </w:tc>
              <w:tc>
                <w:tcPr>
                  <w:tcW w:w="950" w:type="dxa"/>
                  <w:tcBorders>
                    <w:top w:val="nil"/>
                    <w:left w:val="nil"/>
                    <w:bottom w:val="single" w:color="auto" w:sz="4" w:space="0"/>
                    <w:right w:val="single" w:color="auto" w:sz="8" w:space="0"/>
                  </w:tcBorders>
                  <w:vAlign w:val="center"/>
                </w:tcPr>
                <w:p>
                  <w:pPr>
                    <w:spacing w:line="260" w:lineRule="exact"/>
                    <w:ind w:firstLine="34"/>
                    <w:jc w:val="center"/>
                    <w:rPr>
                      <w:color w:val="auto"/>
                      <w:szCs w:val="21"/>
                    </w:rPr>
                  </w:pPr>
                  <w:r>
                    <w:rPr>
                      <w:color w:val="auto"/>
                      <w:szCs w:val="21"/>
                    </w:rPr>
                    <w:t>2381.4</w:t>
                  </w:r>
                </w:p>
              </w:tc>
              <w:tc>
                <w:tcPr>
                  <w:tcW w:w="912"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50</w:t>
                  </w:r>
                </w:p>
              </w:tc>
              <w:tc>
                <w:tcPr>
                  <w:tcW w:w="914" w:type="dxa"/>
                  <w:tcBorders>
                    <w:top w:val="nil"/>
                    <w:left w:val="nil"/>
                    <w:bottom w:val="single" w:color="auto" w:sz="4" w:space="0"/>
                    <w:right w:val="single" w:color="auto" w:sz="8" w:space="0"/>
                  </w:tcBorders>
                  <w:vAlign w:val="center"/>
                </w:tcPr>
                <w:p>
                  <w:pPr>
                    <w:ind w:firstLine="34"/>
                    <w:jc w:val="center"/>
                    <w:rPr>
                      <w:color w:val="auto"/>
                      <w:szCs w:val="21"/>
                    </w:rPr>
                  </w:pPr>
                  <w:r>
                    <w:rPr>
                      <w:color w:val="auto"/>
                      <w:szCs w:val="21"/>
                    </w:rPr>
                    <w:t>96</w:t>
                  </w:r>
                </w:p>
              </w:tc>
              <w:tc>
                <w:tcPr>
                  <w:tcW w:w="839" w:type="dxa"/>
                  <w:tcBorders>
                    <w:top w:val="nil"/>
                    <w:left w:val="nil"/>
                    <w:bottom w:val="single" w:color="auto" w:sz="4" w:space="0"/>
                    <w:right w:val="single" w:color="auto" w:sz="8" w:space="0"/>
                  </w:tcBorders>
                  <w:vAlign w:val="center"/>
                </w:tcPr>
                <w:p>
                  <w:pPr>
                    <w:widowControl/>
                    <w:ind w:firstLine="34"/>
                    <w:jc w:val="center"/>
                    <w:rPr>
                      <w:color w:val="auto"/>
                      <w:szCs w:val="21"/>
                    </w:rPr>
                  </w:pPr>
                  <w:r>
                    <w:rPr>
                      <w:color w:val="auto"/>
                      <w:szCs w:val="21"/>
                    </w:rPr>
                    <w:t>正常</w:t>
                  </w:r>
                </w:p>
              </w:tc>
              <w:tc>
                <w:tcPr>
                  <w:tcW w:w="1221" w:type="dxa"/>
                  <w:tcBorders>
                    <w:top w:val="nil"/>
                    <w:left w:val="nil"/>
                    <w:bottom w:val="single" w:color="auto" w:sz="4" w:space="0"/>
                    <w:right w:val="single" w:color="auto" w:sz="4" w:space="0"/>
                  </w:tcBorders>
                  <w:vAlign w:val="center"/>
                </w:tcPr>
                <w:p>
                  <w:pPr>
                    <w:ind w:firstLine="34"/>
                    <w:jc w:val="center"/>
                    <w:rPr>
                      <w:color w:val="auto"/>
                      <w:szCs w:val="21"/>
                    </w:rPr>
                  </w:pPr>
                  <w:r>
                    <w:rPr>
                      <w:color w:val="auto"/>
                      <w:szCs w:val="21"/>
                    </w:rPr>
                    <w:t>0.03</w:t>
                  </w:r>
                </w:p>
              </w:tc>
              <w:tc>
                <w:tcPr>
                  <w:tcW w:w="1011" w:type="dxa"/>
                  <w:tcBorders>
                    <w:top w:val="nil"/>
                    <w:left w:val="nil"/>
                    <w:bottom w:val="single" w:color="auto" w:sz="4" w:space="0"/>
                    <w:right w:val="single" w:color="auto" w:sz="4" w:space="0"/>
                  </w:tcBorders>
                  <w:vAlign w:val="center"/>
                </w:tcPr>
                <w:p>
                  <w:pPr>
                    <w:ind w:firstLine="34"/>
                    <w:jc w:val="center"/>
                    <w:rPr>
                      <w:b/>
                      <w:color w:val="auto"/>
                      <w:szCs w:val="21"/>
                    </w:rPr>
                  </w:pPr>
                  <w:r>
                    <w:rPr>
                      <w:color w:val="auto"/>
                      <w:szCs w:val="21"/>
                    </w:rPr>
                    <w:t>0.21</w:t>
                  </w:r>
                </w:p>
              </w:tc>
            </w:tr>
            <w:tr>
              <w:tblPrEx>
                <w:tblCellMar>
                  <w:top w:w="0" w:type="dxa"/>
                  <w:left w:w="28" w:type="dxa"/>
                  <w:bottom w:w="0" w:type="dxa"/>
                  <w:right w:w="28" w:type="dxa"/>
                </w:tblCellMar>
              </w:tblPrEx>
              <w:trPr>
                <w:trHeight w:val="213" w:hRule="atLeast"/>
                <w:jc w:val="center"/>
              </w:trPr>
              <w:tc>
                <w:tcPr>
                  <w:tcW w:w="1638"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评价标准</w:t>
                  </w:r>
                </w:p>
                <w:p>
                  <w:pPr>
                    <w:pStyle w:val="230"/>
                    <w:ind w:firstLine="34"/>
                    <w:rPr>
                      <w:b/>
                      <w:color w:val="auto"/>
                      <w:sz w:val="21"/>
                    </w:rPr>
                  </w:pPr>
                  <w:r>
                    <w:rPr>
                      <w:b/>
                      <w:color w:val="auto"/>
                      <w:sz w:val="21"/>
                    </w:rPr>
                    <w:t>（mg/m</w:t>
                  </w:r>
                  <w:r>
                    <w:rPr>
                      <w:b/>
                      <w:color w:val="auto"/>
                      <w:sz w:val="21"/>
                      <w:vertAlign w:val="superscript"/>
                    </w:rPr>
                    <w:t>3</w:t>
                  </w:r>
                  <w:r>
                    <w:rPr>
                      <w:b/>
                      <w:color w:val="auto"/>
                      <w:sz w:val="21"/>
                    </w:rPr>
                    <w:t>）</w:t>
                  </w:r>
                </w:p>
              </w:tc>
              <w:tc>
                <w:tcPr>
                  <w:tcW w:w="774"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782"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950"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912"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914"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839"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w:t>
                  </w:r>
                </w:p>
              </w:tc>
              <w:tc>
                <w:tcPr>
                  <w:tcW w:w="1221"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b/>
                      <w:color w:val="auto"/>
                      <w:sz w:val="21"/>
                    </w:rPr>
                    <w:t>0.45</w:t>
                  </w:r>
                </w:p>
              </w:tc>
              <w:tc>
                <w:tcPr>
                  <w:tcW w:w="1011" w:type="dxa"/>
                  <w:tcBorders>
                    <w:top w:val="single" w:color="auto" w:sz="4" w:space="0"/>
                    <w:left w:val="single" w:color="auto" w:sz="4" w:space="0"/>
                    <w:bottom w:val="single" w:color="auto" w:sz="4" w:space="0"/>
                    <w:right w:val="single" w:color="auto" w:sz="4" w:space="0"/>
                  </w:tcBorders>
                  <w:vAlign w:val="center"/>
                </w:tcPr>
                <w:p>
                  <w:pPr>
                    <w:pStyle w:val="230"/>
                    <w:ind w:firstLine="34"/>
                    <w:rPr>
                      <w:b/>
                      <w:color w:val="auto"/>
                      <w:sz w:val="21"/>
                    </w:rPr>
                  </w:pPr>
                  <w:r>
                    <w:rPr>
                      <w:rFonts w:hint="eastAsia"/>
                      <w:b/>
                      <w:color w:val="auto"/>
                      <w:sz w:val="21"/>
                    </w:rPr>
                    <w:t>0.25</w:t>
                  </w:r>
                </w:p>
              </w:tc>
            </w:tr>
          </w:tbl>
          <w:p>
            <w:pPr>
              <w:pStyle w:val="2"/>
              <w:ind w:firstLine="422"/>
              <w:jc w:val="center"/>
              <w:rPr>
                <w:b/>
                <w:bCs/>
                <w:snapToGrid w:val="0"/>
                <w:color w:val="auto"/>
                <w:szCs w:val="21"/>
              </w:rPr>
            </w:pPr>
          </w:p>
          <w:p>
            <w:pPr>
              <w:pStyle w:val="2"/>
              <w:ind w:firstLine="422"/>
              <w:jc w:val="center"/>
              <w:rPr>
                <w:b/>
                <w:bCs/>
                <w:snapToGrid w:val="0"/>
                <w:color w:val="auto"/>
                <w:szCs w:val="21"/>
              </w:rPr>
            </w:pPr>
          </w:p>
          <w:p>
            <w:pPr>
              <w:pStyle w:val="2"/>
              <w:ind w:firstLine="422"/>
              <w:jc w:val="center"/>
              <w:rPr>
                <w:b/>
                <w:bCs/>
                <w:color w:val="auto"/>
                <w:szCs w:val="21"/>
              </w:rPr>
            </w:pPr>
            <w:r>
              <w:rPr>
                <w:b/>
                <w:bCs/>
                <w:snapToGrid w:val="0"/>
                <w:color w:val="auto"/>
                <w:szCs w:val="21"/>
              </w:rPr>
              <w:t>表</w:t>
            </w:r>
            <w:r>
              <w:rPr>
                <w:rFonts w:hint="eastAsia"/>
                <w:b/>
                <w:bCs/>
                <w:snapToGrid w:val="0"/>
                <w:color w:val="auto"/>
                <w:szCs w:val="21"/>
              </w:rPr>
              <w:t>7-</w:t>
            </w:r>
            <w:r>
              <w:rPr>
                <w:b/>
                <w:bCs/>
                <w:snapToGrid w:val="0"/>
                <w:color w:val="auto"/>
                <w:szCs w:val="21"/>
              </w:rPr>
              <w:t>5</w:t>
            </w:r>
            <w:r>
              <w:rPr>
                <w:b/>
                <w:bCs/>
                <w:color w:val="auto"/>
                <w:szCs w:val="21"/>
              </w:rPr>
              <w:t>大气污染物排放计算参数表（面源）</w:t>
            </w:r>
          </w:p>
          <w:tbl>
            <w:tblPr>
              <w:tblStyle w:val="29"/>
              <w:tblW w:w="94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639"/>
              <w:gridCol w:w="1417"/>
              <w:gridCol w:w="992"/>
              <w:gridCol w:w="1276"/>
              <w:gridCol w:w="1587"/>
              <w:gridCol w:w="1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7" w:hRule="atLeast"/>
                <w:jc w:val="center"/>
              </w:trPr>
              <w:tc>
                <w:tcPr>
                  <w:tcW w:w="2639" w:type="dxa"/>
                  <w:vMerge w:val="restart"/>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污染源</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面源</w:t>
                  </w:r>
                  <w:r>
                    <w:rPr>
                      <w:rFonts w:hint="eastAsia"/>
                      <w:color w:val="auto"/>
                      <w:szCs w:val="21"/>
                    </w:rPr>
                    <w:t>长</w:t>
                  </w:r>
                  <w:r>
                    <w:rPr>
                      <w:color w:val="auto"/>
                      <w:szCs w:val="21"/>
                    </w:rPr>
                    <w:t>度</w:t>
                  </w:r>
                </w:p>
              </w:tc>
              <w:tc>
                <w:tcPr>
                  <w:tcW w:w="992" w:type="dxa"/>
                  <w:tcBorders>
                    <w:top w:val="single" w:color="auto" w:sz="4" w:space="0"/>
                    <w:left w:val="single" w:color="auto" w:sz="4" w:space="0"/>
                    <w:bottom w:val="single" w:color="auto" w:sz="4" w:space="0"/>
                    <w:right w:val="single" w:color="auto" w:sz="4" w:space="0"/>
                  </w:tcBorders>
                  <w:vAlign w:val="center"/>
                </w:tcPr>
                <w:p>
                  <w:pPr>
                    <w:widowControl/>
                    <w:jc w:val="center"/>
                    <w:rPr>
                      <w:color w:val="auto"/>
                      <w:szCs w:val="21"/>
                    </w:rPr>
                  </w:pPr>
                  <w:r>
                    <w:rPr>
                      <w:color w:val="auto"/>
                      <w:szCs w:val="21"/>
                    </w:rPr>
                    <w:t>面源</w:t>
                  </w:r>
                  <w:r>
                    <w:rPr>
                      <w:rFonts w:hint="eastAsia"/>
                      <w:color w:val="auto"/>
                      <w:szCs w:val="21"/>
                    </w:rPr>
                    <w:t>宽</w:t>
                  </w:r>
                  <w:r>
                    <w:rPr>
                      <w:color w:val="auto"/>
                      <w:szCs w:val="21"/>
                    </w:rPr>
                    <w:t>度</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与正北夹角</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面源初始</w:t>
                  </w:r>
                </w:p>
                <w:p>
                  <w:pPr>
                    <w:widowControl/>
                    <w:ind w:hanging="39"/>
                    <w:jc w:val="center"/>
                    <w:rPr>
                      <w:color w:val="auto"/>
                      <w:szCs w:val="21"/>
                    </w:rPr>
                  </w:pPr>
                  <w:r>
                    <w:rPr>
                      <w:color w:val="auto"/>
                      <w:szCs w:val="21"/>
                    </w:rPr>
                    <w:t>排放高度</w:t>
                  </w:r>
                </w:p>
              </w:tc>
              <w:tc>
                <w:tcPr>
                  <w:tcW w:w="1532"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评价因子源强（t/a）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7" w:hRule="atLeast"/>
                <w:jc w:val="center"/>
              </w:trPr>
              <w:tc>
                <w:tcPr>
                  <w:tcW w:w="2639" w:type="dxa"/>
                  <w:vMerge w:val="continue"/>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m</w:t>
                  </w:r>
                </w:p>
              </w:tc>
              <w:tc>
                <w:tcPr>
                  <w:tcW w:w="992" w:type="dxa"/>
                  <w:tcBorders>
                    <w:top w:val="single" w:color="auto" w:sz="4" w:space="0"/>
                    <w:left w:val="single" w:color="auto" w:sz="4" w:space="0"/>
                    <w:bottom w:val="single" w:color="auto" w:sz="4" w:space="0"/>
                    <w:right w:val="single" w:color="auto" w:sz="4" w:space="0"/>
                  </w:tcBorders>
                </w:tcPr>
                <w:p>
                  <w:pPr>
                    <w:widowControl/>
                    <w:ind w:hanging="39"/>
                    <w:jc w:val="center"/>
                    <w:rPr>
                      <w:color w:val="auto"/>
                      <w:szCs w:val="21"/>
                    </w:rPr>
                  </w:pPr>
                  <w:r>
                    <w:rPr>
                      <w:color w:val="auto"/>
                      <w:szCs w:val="21"/>
                    </w:rPr>
                    <w:t>m</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m</w:t>
                  </w:r>
                </w:p>
              </w:tc>
              <w:tc>
                <w:tcPr>
                  <w:tcW w:w="1532"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bCs/>
                      <w:color w:val="auto"/>
                      <w:szCs w:val="21"/>
                    </w:rPr>
                    <w:t>颗粒物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639" w:type="dxa"/>
                  <w:tcBorders>
                    <w:top w:val="single" w:color="auto" w:sz="4" w:space="0"/>
                    <w:left w:val="single" w:color="auto" w:sz="4" w:space="0"/>
                    <w:bottom w:val="single" w:color="auto" w:sz="4" w:space="0"/>
                    <w:right w:val="single" w:color="auto" w:sz="4" w:space="0"/>
                  </w:tcBorders>
                  <w:vAlign w:val="center"/>
                </w:tcPr>
                <w:p>
                  <w:pPr>
                    <w:ind w:hanging="39"/>
                    <w:jc w:val="center"/>
                    <w:rPr>
                      <w:color w:val="auto"/>
                      <w:szCs w:val="21"/>
                    </w:rPr>
                  </w:pPr>
                  <w:r>
                    <w:rPr>
                      <w:color w:val="auto"/>
                      <w:szCs w:val="21"/>
                    </w:rPr>
                    <w:t>原料沙</w:t>
                  </w:r>
                  <w:r>
                    <w:rPr>
                      <w:rFonts w:hint="eastAsia"/>
                      <w:color w:val="auto"/>
                      <w:szCs w:val="21"/>
                    </w:rPr>
                    <w:t>、</w:t>
                  </w:r>
                  <w:r>
                    <w:rPr>
                      <w:color w:val="auto"/>
                      <w:szCs w:val="21"/>
                    </w:rPr>
                    <w:t>石堆</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40</w:t>
                  </w:r>
                </w:p>
              </w:tc>
              <w:tc>
                <w:tcPr>
                  <w:tcW w:w="992" w:type="dxa"/>
                  <w:tcBorders>
                    <w:top w:val="single" w:color="auto" w:sz="4" w:space="0"/>
                    <w:left w:val="single" w:color="auto" w:sz="4" w:space="0"/>
                    <w:bottom w:val="single" w:color="auto" w:sz="4" w:space="0"/>
                    <w:right w:val="single" w:color="auto" w:sz="4" w:space="0"/>
                  </w:tcBorders>
                </w:tcPr>
                <w:p>
                  <w:pPr>
                    <w:widowControl/>
                    <w:ind w:hanging="39"/>
                    <w:jc w:val="center"/>
                    <w:rPr>
                      <w:color w:val="auto"/>
                      <w:szCs w:val="21"/>
                    </w:rPr>
                  </w:pPr>
                  <w:r>
                    <w:rPr>
                      <w:rFonts w:hint="eastAsia"/>
                      <w:color w:val="auto"/>
                      <w:szCs w:val="21"/>
                    </w:rPr>
                    <w:t>40</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30</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rFonts w:hint="eastAsia"/>
                      <w:color w:val="auto"/>
                      <w:szCs w:val="21"/>
                    </w:rPr>
                    <w:t>5</w:t>
                  </w:r>
                  <w:r>
                    <w:rPr>
                      <w:color w:val="auto"/>
                      <w:szCs w:val="21"/>
                    </w:rPr>
                    <w:t>.0</w:t>
                  </w:r>
                </w:p>
              </w:tc>
              <w:tc>
                <w:tcPr>
                  <w:tcW w:w="1532" w:type="dxa"/>
                  <w:tcBorders>
                    <w:top w:val="single" w:color="auto" w:sz="4" w:space="0"/>
                    <w:left w:val="single" w:color="auto" w:sz="4" w:space="0"/>
                    <w:bottom w:val="single" w:color="auto" w:sz="4" w:space="0"/>
                    <w:right w:val="single" w:color="auto" w:sz="4" w:space="0"/>
                  </w:tcBorders>
                  <w:vAlign w:val="center"/>
                </w:tcPr>
                <w:p>
                  <w:pPr>
                    <w:ind w:hanging="39"/>
                    <w:jc w:val="center"/>
                    <w:rPr>
                      <w:color w:val="auto"/>
                      <w:szCs w:val="21"/>
                    </w:rPr>
                  </w:pPr>
                  <w:r>
                    <w:rPr>
                      <w:color w:val="auto"/>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639"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bCs/>
                      <w:color w:val="auto"/>
                      <w:szCs w:val="21"/>
                    </w:rPr>
                  </w:pPr>
                  <w:r>
                    <w:rPr>
                      <w:bCs/>
                      <w:color w:val="auto"/>
                      <w:szCs w:val="21"/>
                    </w:rPr>
                    <w:t>搅拌</w:t>
                  </w:r>
                  <w:r>
                    <w:rPr>
                      <w:rFonts w:hint="eastAsia"/>
                      <w:bCs/>
                      <w:color w:val="auto"/>
                      <w:szCs w:val="21"/>
                    </w:rPr>
                    <w:t>生产线（搅拌机）</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35</w:t>
                  </w:r>
                </w:p>
              </w:tc>
              <w:tc>
                <w:tcPr>
                  <w:tcW w:w="992" w:type="dxa"/>
                  <w:tcBorders>
                    <w:top w:val="single" w:color="auto" w:sz="4" w:space="0"/>
                    <w:left w:val="single" w:color="auto" w:sz="4" w:space="0"/>
                    <w:bottom w:val="single" w:color="auto" w:sz="4" w:space="0"/>
                    <w:right w:val="single" w:color="auto" w:sz="4" w:space="0"/>
                  </w:tcBorders>
                </w:tcPr>
                <w:p>
                  <w:pPr>
                    <w:widowControl/>
                    <w:ind w:hanging="39"/>
                    <w:jc w:val="center"/>
                    <w:rPr>
                      <w:color w:val="auto"/>
                      <w:szCs w:val="21"/>
                    </w:rPr>
                  </w:pPr>
                  <w:r>
                    <w:rPr>
                      <w:color w:val="auto"/>
                      <w:szCs w:val="21"/>
                    </w:rPr>
                    <w:t>28</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30</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2</w:t>
                  </w:r>
                  <w:r>
                    <w:rPr>
                      <w:rFonts w:hint="eastAsia"/>
                      <w:color w:val="auto"/>
                      <w:szCs w:val="21"/>
                    </w:rPr>
                    <w:t>0</w:t>
                  </w:r>
                </w:p>
              </w:tc>
              <w:tc>
                <w:tcPr>
                  <w:tcW w:w="1532" w:type="dxa"/>
                  <w:tcBorders>
                    <w:top w:val="single" w:color="auto" w:sz="4" w:space="0"/>
                    <w:left w:val="single" w:color="auto" w:sz="4" w:space="0"/>
                    <w:bottom w:val="single" w:color="auto" w:sz="4" w:space="0"/>
                    <w:right w:val="single" w:color="auto" w:sz="4" w:space="0"/>
                  </w:tcBorders>
                  <w:vAlign w:val="center"/>
                </w:tcPr>
                <w:p>
                  <w:pPr>
                    <w:ind w:hanging="39"/>
                    <w:jc w:val="center"/>
                    <w:rPr>
                      <w:color w:val="auto"/>
                      <w:szCs w:val="21"/>
                    </w:rPr>
                  </w:pPr>
                  <w:r>
                    <w:rPr>
                      <w:color w:val="auto"/>
                      <w:szCs w:val="21"/>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639"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bCs/>
                      <w:color w:val="auto"/>
                      <w:szCs w:val="21"/>
                    </w:rPr>
                  </w:pPr>
                  <w:r>
                    <w:rPr>
                      <w:bCs/>
                      <w:color w:val="auto"/>
                      <w:szCs w:val="21"/>
                    </w:rPr>
                    <w:t>搅拌</w:t>
                  </w:r>
                  <w:r>
                    <w:rPr>
                      <w:rFonts w:hint="eastAsia"/>
                      <w:bCs/>
                      <w:color w:val="auto"/>
                      <w:szCs w:val="21"/>
                    </w:rPr>
                    <w:t>生产线（沙石投料斗）</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35</w:t>
                  </w:r>
                </w:p>
              </w:tc>
              <w:tc>
                <w:tcPr>
                  <w:tcW w:w="992" w:type="dxa"/>
                  <w:tcBorders>
                    <w:top w:val="single" w:color="auto" w:sz="4" w:space="0"/>
                    <w:left w:val="single" w:color="auto" w:sz="4" w:space="0"/>
                    <w:bottom w:val="single" w:color="auto" w:sz="4" w:space="0"/>
                    <w:right w:val="single" w:color="auto" w:sz="4" w:space="0"/>
                  </w:tcBorders>
                </w:tcPr>
                <w:p>
                  <w:pPr>
                    <w:widowControl/>
                    <w:ind w:hanging="39"/>
                    <w:jc w:val="center"/>
                    <w:rPr>
                      <w:color w:val="auto"/>
                      <w:szCs w:val="21"/>
                    </w:rPr>
                  </w:pPr>
                  <w:r>
                    <w:rPr>
                      <w:color w:val="auto"/>
                      <w:szCs w:val="21"/>
                    </w:rPr>
                    <w:t>28</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30</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rFonts w:hint="eastAsia"/>
                      <w:color w:val="auto"/>
                      <w:szCs w:val="21"/>
                    </w:rPr>
                    <w:t>20</w:t>
                  </w:r>
                </w:p>
              </w:tc>
              <w:tc>
                <w:tcPr>
                  <w:tcW w:w="1532" w:type="dxa"/>
                  <w:tcBorders>
                    <w:top w:val="single" w:color="auto" w:sz="4" w:space="0"/>
                    <w:left w:val="single" w:color="auto" w:sz="4" w:space="0"/>
                    <w:bottom w:val="single" w:color="auto" w:sz="4" w:space="0"/>
                    <w:right w:val="single" w:color="auto" w:sz="4" w:space="0"/>
                  </w:tcBorders>
                  <w:vAlign w:val="center"/>
                </w:tcPr>
                <w:p>
                  <w:pPr>
                    <w:ind w:hanging="39"/>
                    <w:jc w:val="center"/>
                    <w:rPr>
                      <w:color w:val="auto"/>
                      <w:szCs w:val="21"/>
                    </w:rPr>
                  </w:pPr>
                  <w:r>
                    <w:rPr>
                      <w:color w:val="auto"/>
                      <w:szCs w:val="21"/>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97" w:hRule="atLeast"/>
                <w:jc w:val="center"/>
              </w:trPr>
              <w:tc>
                <w:tcPr>
                  <w:tcW w:w="2639"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标准（mg/m</w:t>
                  </w:r>
                  <w:r>
                    <w:rPr>
                      <w:color w:val="auto"/>
                      <w:szCs w:val="21"/>
                      <w:vertAlign w:val="superscript"/>
                    </w:rPr>
                    <w:t>3</w:t>
                  </w:r>
                  <w:r>
                    <w:rPr>
                      <w:color w:val="auto"/>
                      <w:szCs w:val="21"/>
                    </w:rPr>
                    <w:t>）</w:t>
                  </w:r>
                </w:p>
              </w:tc>
              <w:tc>
                <w:tcPr>
                  <w:tcW w:w="141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w:t>
                  </w:r>
                </w:p>
              </w:tc>
              <w:tc>
                <w:tcPr>
                  <w:tcW w:w="992" w:type="dxa"/>
                  <w:tcBorders>
                    <w:top w:val="single" w:color="auto" w:sz="4" w:space="0"/>
                    <w:left w:val="single" w:color="auto" w:sz="4" w:space="0"/>
                    <w:bottom w:val="single" w:color="auto" w:sz="4" w:space="0"/>
                    <w:right w:val="single" w:color="auto" w:sz="4" w:space="0"/>
                  </w:tcBorders>
                </w:tcPr>
                <w:p>
                  <w:pPr>
                    <w:widowControl/>
                    <w:ind w:hanging="39"/>
                    <w:jc w:val="center"/>
                    <w:rPr>
                      <w:color w:val="auto"/>
                      <w:szCs w:val="21"/>
                    </w:rPr>
                  </w:pPr>
                  <w:r>
                    <w:rPr>
                      <w:color w:val="auto"/>
                      <w:szCs w:val="21"/>
                    </w:rPr>
                    <w:t>—</w:t>
                  </w:r>
                </w:p>
              </w:tc>
              <w:tc>
                <w:tcPr>
                  <w:tcW w:w="1276"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w:t>
                  </w:r>
                </w:p>
              </w:tc>
              <w:tc>
                <w:tcPr>
                  <w:tcW w:w="1587"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color w:val="auto"/>
                      <w:szCs w:val="21"/>
                    </w:rPr>
                  </w:pPr>
                  <w:r>
                    <w:rPr>
                      <w:color w:val="auto"/>
                      <w:szCs w:val="21"/>
                    </w:rPr>
                    <w:t>—</w:t>
                  </w:r>
                </w:p>
              </w:tc>
              <w:tc>
                <w:tcPr>
                  <w:tcW w:w="1532" w:type="dxa"/>
                  <w:tcBorders>
                    <w:top w:val="single" w:color="auto" w:sz="4" w:space="0"/>
                    <w:left w:val="single" w:color="auto" w:sz="4" w:space="0"/>
                    <w:bottom w:val="single" w:color="auto" w:sz="4" w:space="0"/>
                    <w:right w:val="single" w:color="auto" w:sz="4" w:space="0"/>
                  </w:tcBorders>
                  <w:vAlign w:val="center"/>
                </w:tcPr>
                <w:p>
                  <w:pPr>
                    <w:widowControl/>
                    <w:ind w:hanging="39"/>
                    <w:jc w:val="center"/>
                    <w:rPr>
                      <w:b/>
                      <w:color w:val="auto"/>
                      <w:szCs w:val="21"/>
                    </w:rPr>
                  </w:pPr>
                  <w:r>
                    <w:rPr>
                      <w:b/>
                      <w:color w:val="auto"/>
                      <w:szCs w:val="21"/>
                    </w:rPr>
                    <w:t>0.45</w:t>
                  </w:r>
                </w:p>
              </w:tc>
            </w:tr>
          </w:tbl>
          <w:p>
            <w:pPr>
              <w:pStyle w:val="228"/>
              <w:numPr>
                <w:ilvl w:val="0"/>
                <w:numId w:val="12"/>
              </w:numPr>
              <w:spacing w:before="156" w:beforeLines="50" w:line="360" w:lineRule="auto"/>
              <w:ind w:left="839" w:hanging="357" w:firstLineChars="0"/>
              <w:rPr>
                <w:color w:val="auto"/>
                <w:sz w:val="24"/>
              </w:rPr>
            </w:pPr>
            <w:r>
              <w:rPr>
                <w:rFonts w:hint="eastAsia"/>
                <w:color w:val="auto"/>
                <w:sz w:val="24"/>
              </w:rPr>
              <w:t>估算模型及相关参数</w:t>
            </w:r>
          </w:p>
          <w:p>
            <w:pPr>
              <w:pStyle w:val="228"/>
              <w:spacing w:line="360" w:lineRule="auto"/>
              <w:ind w:left="738" w:hanging="360" w:firstLineChars="0"/>
              <w:rPr>
                <w:color w:val="auto"/>
              </w:rPr>
            </w:pPr>
            <w:r>
              <w:rPr>
                <w:rFonts w:hint="eastAsia"/>
                <w:color w:val="auto"/>
                <w:sz w:val="24"/>
              </w:rPr>
              <w:t>采用《环境影响评价技术导则大气环境》（HJ2.2-2018）中推荐的AERSCREEN估算模型进行估算分析。</w:t>
            </w:r>
          </w:p>
          <w:p>
            <w:pPr>
              <w:pStyle w:val="162"/>
              <w:tabs>
                <w:tab w:val="left" w:pos="3372"/>
              </w:tabs>
              <w:rPr>
                <w:color w:val="auto"/>
              </w:rPr>
            </w:pPr>
            <w:r>
              <w:rPr>
                <w:color w:val="auto"/>
              </w:rPr>
              <w:fldChar w:fldCharType="begin"/>
            </w:r>
            <w:r>
              <w:rPr>
                <w:rFonts w:hint="eastAsia"/>
                <w:color w:val="auto"/>
              </w:rPr>
              <w:instrText xml:space="preserve">= 3 \* GB3</w:instrText>
            </w:r>
            <w:r>
              <w:rPr>
                <w:color w:val="auto"/>
              </w:rPr>
              <w:fldChar w:fldCharType="separate"/>
            </w:r>
            <w:r>
              <w:rPr>
                <w:rFonts w:hint="eastAsia"/>
                <w:color w:val="auto"/>
              </w:rPr>
              <w:t>③</w:t>
            </w:r>
            <w:r>
              <w:rPr>
                <w:color w:val="auto"/>
              </w:rPr>
              <w:fldChar w:fldCharType="end"/>
            </w:r>
            <w:r>
              <w:rPr>
                <w:rFonts w:hint="eastAsia"/>
                <w:color w:val="auto"/>
              </w:rPr>
              <w:t>估算结果及评价分析</w:t>
            </w:r>
          </w:p>
          <w:p>
            <w:pPr>
              <w:pStyle w:val="228"/>
              <w:tabs>
                <w:tab w:val="left" w:pos="3372"/>
              </w:tabs>
              <w:spacing w:line="360" w:lineRule="auto"/>
              <w:ind w:left="840" w:hanging="360" w:firstLineChars="0"/>
              <w:rPr>
                <w:bCs/>
                <w:color w:val="auto"/>
                <w:kern w:val="0"/>
                <w:sz w:val="24"/>
                <w:szCs w:val="20"/>
              </w:rPr>
            </w:pPr>
            <w:r>
              <w:rPr>
                <w:rFonts w:hint="eastAsia"/>
                <w:bCs/>
                <w:color w:val="auto"/>
                <w:kern w:val="0"/>
                <w:sz w:val="24"/>
                <w:szCs w:val="20"/>
              </w:rPr>
              <w:t>根据《环境影响评价技术导则大气环境》（HJ2.2-2018），采用推荐模式AERSCREEN进行估算，污染源排放预测见下表：</w:t>
            </w:r>
          </w:p>
          <w:p>
            <w:pPr>
              <w:spacing w:before="156" w:beforeLines="50"/>
              <w:ind w:firstLine="34"/>
              <w:jc w:val="center"/>
              <w:rPr>
                <w:b/>
                <w:bCs/>
                <w:color w:val="auto"/>
                <w:szCs w:val="21"/>
              </w:rPr>
            </w:pPr>
            <w:r>
              <w:rPr>
                <w:b/>
                <w:bCs/>
                <w:color w:val="auto"/>
                <w:szCs w:val="21"/>
              </w:rPr>
              <w:t>表</w:t>
            </w:r>
            <w:r>
              <w:rPr>
                <w:rFonts w:hint="eastAsia"/>
                <w:b/>
                <w:bCs/>
                <w:color w:val="auto"/>
                <w:szCs w:val="21"/>
              </w:rPr>
              <w:t>7-</w:t>
            </w:r>
            <w:r>
              <w:rPr>
                <w:b/>
                <w:bCs/>
                <w:color w:val="auto"/>
                <w:szCs w:val="21"/>
              </w:rPr>
              <w:t>6污染物最大落地浓度估算结果表</w:t>
            </w:r>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28" w:type="dxa"/>
                <w:bottom w:w="0" w:type="dxa"/>
                <w:right w:w="28" w:type="dxa"/>
              </w:tblCellMar>
            </w:tblPr>
            <w:tblGrid>
              <w:gridCol w:w="1781"/>
              <w:gridCol w:w="1418"/>
              <w:gridCol w:w="1559"/>
              <w:gridCol w:w="1366"/>
              <w:gridCol w:w="1735"/>
              <w:gridCol w:w="14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tblHeader/>
                <w:jc w:val="center"/>
              </w:trPr>
              <w:tc>
                <w:tcPr>
                  <w:tcW w:w="1781" w:type="dxa"/>
                  <w:vMerge w:val="restart"/>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污染源</w:t>
                  </w:r>
                </w:p>
              </w:tc>
              <w:tc>
                <w:tcPr>
                  <w:tcW w:w="1418" w:type="dxa"/>
                  <w:vMerge w:val="restart"/>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距源中心下风向距离D（m）</w:t>
                  </w:r>
                </w:p>
              </w:tc>
              <w:tc>
                <w:tcPr>
                  <w:tcW w:w="2925" w:type="dxa"/>
                  <w:gridSpan w:val="2"/>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PM10</w:t>
                  </w:r>
                </w:p>
              </w:tc>
              <w:tc>
                <w:tcPr>
                  <w:tcW w:w="3190" w:type="dxa"/>
                  <w:gridSpan w:val="2"/>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 xml:space="preserve">NOx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tblHeader/>
                <w:jc w:val="center"/>
              </w:trPr>
              <w:tc>
                <w:tcPr>
                  <w:tcW w:w="1781" w:type="dxa"/>
                  <w:vMerge w:val="continue"/>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p>
              </w:tc>
              <w:tc>
                <w:tcPr>
                  <w:tcW w:w="1418" w:type="dxa"/>
                  <w:vMerge w:val="continue"/>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下风向预测质量浓度mg/m</w:t>
                  </w:r>
                  <w:r>
                    <w:rPr>
                      <w:color w:val="auto"/>
                      <w:szCs w:val="21"/>
                      <w:vertAlign w:val="superscript"/>
                    </w:rPr>
                    <w:t>3</w:t>
                  </w:r>
                </w:p>
              </w:tc>
              <w:tc>
                <w:tcPr>
                  <w:tcW w:w="1366" w:type="dxa"/>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质量浓度占标率（%）</w:t>
                  </w:r>
                </w:p>
              </w:tc>
              <w:tc>
                <w:tcPr>
                  <w:tcW w:w="1735" w:type="dxa"/>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下风向预测质量浓度mg/m</w:t>
                  </w:r>
                  <w:r>
                    <w:rPr>
                      <w:color w:val="auto"/>
                      <w:szCs w:val="21"/>
                      <w:vertAlign w:val="superscript"/>
                    </w:rPr>
                    <w:t>3</w:t>
                  </w:r>
                </w:p>
              </w:tc>
              <w:tc>
                <w:tcPr>
                  <w:tcW w:w="1455" w:type="dxa"/>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质量浓度占标率（%）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391"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粉料筒仓粉尘</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97</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0.004631</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1.03</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制砂生产线粉尘</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245</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0.005395</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1.20</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发电机尾气</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375</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0.00127</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0.28</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0.008891</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3.56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ind w:hanging="39"/>
                    <w:jc w:val="center"/>
                    <w:rPr>
                      <w:color w:val="auto"/>
                      <w:szCs w:val="21"/>
                    </w:rPr>
                  </w:pPr>
                  <w:r>
                    <w:rPr>
                      <w:color w:val="auto"/>
                      <w:szCs w:val="21"/>
                    </w:rPr>
                    <w:t>原料沙</w:t>
                  </w:r>
                  <w:r>
                    <w:rPr>
                      <w:rFonts w:hint="eastAsia"/>
                      <w:color w:val="auto"/>
                      <w:szCs w:val="21"/>
                    </w:rPr>
                    <w:t>、</w:t>
                  </w:r>
                  <w:r>
                    <w:rPr>
                      <w:color w:val="auto"/>
                      <w:szCs w:val="21"/>
                    </w:rPr>
                    <w:t>石堆</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29</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0.032281</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7.17</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widowControl/>
                    <w:ind w:hanging="39"/>
                    <w:jc w:val="center"/>
                    <w:rPr>
                      <w:color w:val="auto"/>
                      <w:szCs w:val="21"/>
                    </w:rPr>
                  </w:pPr>
                  <w:r>
                    <w:rPr>
                      <w:bCs/>
                      <w:color w:val="auto"/>
                      <w:szCs w:val="21"/>
                    </w:rPr>
                    <w:t>搅拌</w:t>
                  </w:r>
                  <w:r>
                    <w:rPr>
                      <w:rFonts w:hint="eastAsia"/>
                      <w:bCs/>
                      <w:color w:val="auto"/>
                      <w:szCs w:val="21"/>
                    </w:rPr>
                    <w:t>生产线（搅拌机）</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34</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0.002621</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0.58</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000000" w:sz="4" w:space="0"/>
                  </w:tcBorders>
                  <w:vAlign w:val="center"/>
                </w:tcPr>
                <w:p>
                  <w:pPr>
                    <w:widowControl/>
                    <w:ind w:hanging="39"/>
                    <w:jc w:val="center"/>
                    <w:rPr>
                      <w:bCs/>
                      <w:color w:val="auto"/>
                      <w:szCs w:val="21"/>
                    </w:rPr>
                  </w:pPr>
                  <w:r>
                    <w:rPr>
                      <w:bCs/>
                      <w:color w:val="auto"/>
                      <w:szCs w:val="21"/>
                    </w:rPr>
                    <w:t>搅拌</w:t>
                  </w:r>
                  <w:r>
                    <w:rPr>
                      <w:rFonts w:hint="eastAsia"/>
                      <w:bCs/>
                      <w:color w:val="auto"/>
                      <w:szCs w:val="21"/>
                    </w:rPr>
                    <w:t>生产线（沙石投料斗）</w:t>
                  </w:r>
                </w:p>
              </w:tc>
              <w:tc>
                <w:tcPr>
                  <w:tcW w:w="1418"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34</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0.001498</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0.33</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rFonts w:hint="eastAsia"/>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最大值</w:t>
                  </w:r>
                </w:p>
              </w:tc>
              <w:tc>
                <w:tcPr>
                  <w:tcW w:w="1418" w:type="dxa"/>
                  <w:tcBorders>
                    <w:top w:val="single" w:color="000000" w:sz="4" w:space="0"/>
                    <w:left w:val="single" w:color="auto"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w:t>
                  </w:r>
                </w:p>
              </w:tc>
              <w:tc>
                <w:tcPr>
                  <w:tcW w:w="1559"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0.032281</w:t>
                  </w:r>
                </w:p>
              </w:tc>
              <w:tc>
                <w:tcPr>
                  <w:tcW w:w="1366"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7.17</w:t>
                  </w:r>
                </w:p>
              </w:tc>
              <w:tc>
                <w:tcPr>
                  <w:tcW w:w="173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0.008891</w:t>
                  </w:r>
                </w:p>
              </w:tc>
              <w:tc>
                <w:tcPr>
                  <w:tcW w:w="1455" w:type="dxa"/>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3.56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28" w:type="dxa"/>
                  <w:bottom w:w="0" w:type="dxa"/>
                  <w:right w:w="28" w:type="dxa"/>
                </w:tblCellMar>
              </w:tblPrEx>
              <w:trPr>
                <w:trHeight w:val="20" w:hRule="atLeast"/>
                <w:jc w:val="center"/>
              </w:trPr>
              <w:tc>
                <w:tcPr>
                  <w:tcW w:w="1781" w:type="dxa"/>
                  <w:tcBorders>
                    <w:top w:val="single" w:color="000000" w:sz="4" w:space="0"/>
                    <w:left w:val="single" w:color="000000" w:sz="4" w:space="0"/>
                    <w:bottom w:val="single" w:color="000000" w:sz="4" w:space="0"/>
                    <w:right w:val="single" w:color="auto" w:sz="4" w:space="0"/>
                  </w:tcBorders>
                  <w:vAlign w:val="center"/>
                </w:tcPr>
                <w:p>
                  <w:pPr>
                    <w:widowControl/>
                    <w:ind w:firstLine="34"/>
                    <w:jc w:val="center"/>
                    <w:rPr>
                      <w:color w:val="auto"/>
                      <w:szCs w:val="21"/>
                    </w:rPr>
                  </w:pPr>
                  <w:r>
                    <w:rPr>
                      <w:color w:val="auto"/>
                      <w:szCs w:val="21"/>
                    </w:rPr>
                    <w:t>D10%最远距离m</w:t>
                  </w:r>
                </w:p>
              </w:tc>
              <w:tc>
                <w:tcPr>
                  <w:tcW w:w="1418" w:type="dxa"/>
                  <w:tcBorders>
                    <w:top w:val="single" w:color="000000" w:sz="4" w:space="0"/>
                    <w:left w:val="single" w:color="auto"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w:t>
                  </w:r>
                </w:p>
              </w:tc>
              <w:tc>
                <w:tcPr>
                  <w:tcW w:w="2925" w:type="dxa"/>
                  <w:gridSpan w:val="2"/>
                  <w:tcBorders>
                    <w:top w:val="single" w:color="000000" w:sz="4" w:space="0"/>
                    <w:left w:val="single" w:color="000000" w:sz="4" w:space="0"/>
                    <w:bottom w:val="single" w:color="000000" w:sz="4" w:space="0"/>
                    <w:right w:val="single" w:color="000000" w:sz="4" w:space="0"/>
                  </w:tcBorders>
                  <w:vAlign w:val="center"/>
                </w:tcPr>
                <w:p>
                  <w:pPr>
                    <w:widowControl/>
                    <w:ind w:firstLine="34"/>
                    <w:jc w:val="center"/>
                    <w:rPr>
                      <w:color w:val="auto"/>
                      <w:szCs w:val="21"/>
                    </w:rPr>
                  </w:pPr>
                  <w:r>
                    <w:rPr>
                      <w:color w:val="auto"/>
                      <w:szCs w:val="21"/>
                    </w:rPr>
                    <w:t>375</w:t>
                  </w:r>
                </w:p>
              </w:tc>
              <w:tc>
                <w:tcPr>
                  <w:tcW w:w="3190" w:type="dxa"/>
                  <w:gridSpan w:val="2"/>
                  <w:tcBorders>
                    <w:top w:val="single" w:color="000000" w:sz="4" w:space="0"/>
                    <w:left w:val="single" w:color="000000" w:sz="4" w:space="0"/>
                    <w:bottom w:val="single" w:color="000000" w:sz="4" w:space="0"/>
                    <w:right w:val="single" w:color="000000" w:sz="4" w:space="0"/>
                  </w:tcBorders>
                  <w:vAlign w:val="center"/>
                </w:tcPr>
                <w:p>
                  <w:pPr>
                    <w:ind w:firstLine="34"/>
                    <w:jc w:val="center"/>
                    <w:rPr>
                      <w:color w:val="auto"/>
                      <w:szCs w:val="21"/>
                    </w:rPr>
                  </w:pPr>
                  <w:r>
                    <w:rPr>
                      <w:color w:val="auto"/>
                      <w:szCs w:val="21"/>
                    </w:rPr>
                    <w:t>375</w:t>
                  </w:r>
                </w:p>
              </w:tc>
            </w:tr>
          </w:tbl>
          <w:p>
            <w:pPr>
              <w:pStyle w:val="2"/>
              <w:rPr>
                <w:color w:val="auto"/>
              </w:rPr>
            </w:pPr>
          </w:p>
          <w:p>
            <w:pPr>
              <w:snapToGrid w:val="0"/>
              <w:spacing w:before="156" w:beforeLines="50" w:line="360" w:lineRule="auto"/>
              <w:ind w:firstLine="420"/>
              <w:rPr>
                <w:color w:val="auto"/>
                <w:sz w:val="24"/>
              </w:rPr>
            </w:pPr>
            <w:r>
              <w:rPr>
                <w:color w:val="auto"/>
                <w:sz w:val="24"/>
              </w:rPr>
              <w:t>经计算，</w:t>
            </w:r>
            <w:r>
              <w:rPr>
                <w:rFonts w:hint="eastAsia"/>
                <w:color w:val="auto"/>
                <w:sz w:val="24"/>
              </w:rPr>
              <w:t>各污染源</w:t>
            </w:r>
            <w:r>
              <w:rPr>
                <w:color w:val="auto"/>
                <w:sz w:val="24"/>
              </w:rPr>
              <w:t>下风向落地浓度占标率最大为7.17%，出现在下风29m，最大占标率1%≤Pmax &lt;10%。根据《环境影响评价技术导则大气环境》（HJ/T2.2-2018），确定项目的大气环境影响评价工作等级为二级。</w:t>
            </w:r>
            <w:r>
              <w:rPr>
                <w:rFonts w:hint="eastAsia"/>
                <w:color w:val="auto"/>
                <w:sz w:val="24"/>
              </w:rPr>
              <w:t>根据《环境影响评价技术导则大气环境》（HJ2.2-2018），二级评价可不进行大气环境影响预测工作，只对污染物排放量进行核算。</w:t>
            </w:r>
          </w:p>
          <w:p>
            <w:pPr>
              <w:widowControl/>
              <w:autoSpaceDE w:val="0"/>
              <w:autoSpaceDN w:val="0"/>
              <w:adjustRightInd w:val="0"/>
              <w:snapToGrid w:val="0"/>
              <w:spacing w:line="360" w:lineRule="auto"/>
              <w:ind w:firstLine="420"/>
              <w:rPr>
                <w:color w:val="auto"/>
                <w:sz w:val="24"/>
              </w:rPr>
            </w:pPr>
            <w:r>
              <w:rPr>
                <w:color w:val="auto"/>
                <w:sz w:val="24"/>
              </w:rPr>
              <w:fldChar w:fldCharType="begin"/>
            </w:r>
            <w:r>
              <w:rPr>
                <w:rFonts w:hint="eastAsia"/>
                <w:color w:val="auto"/>
                <w:sz w:val="24"/>
              </w:rPr>
              <w:instrText xml:space="preserve">= 4 \* GB3</w:instrText>
            </w:r>
            <w:r>
              <w:rPr>
                <w:color w:val="auto"/>
                <w:sz w:val="24"/>
              </w:rPr>
              <w:fldChar w:fldCharType="separate"/>
            </w:r>
            <w:r>
              <w:rPr>
                <w:rFonts w:hint="eastAsia"/>
                <w:color w:val="auto"/>
                <w:sz w:val="24"/>
              </w:rPr>
              <w:t>④</w:t>
            </w:r>
            <w:r>
              <w:rPr>
                <w:color w:val="auto"/>
                <w:sz w:val="24"/>
              </w:rPr>
              <w:fldChar w:fldCharType="end"/>
            </w:r>
            <w:r>
              <w:rPr>
                <w:color w:val="auto"/>
                <w:sz w:val="24"/>
                <w:szCs w:val="20"/>
              </w:rPr>
              <w:t>污染物排放量核算表</w:t>
            </w:r>
          </w:p>
          <w:p>
            <w:pPr>
              <w:pStyle w:val="2"/>
              <w:snapToGrid w:val="0"/>
              <w:spacing w:line="360" w:lineRule="auto"/>
              <w:ind w:firstLine="480"/>
              <w:rPr>
                <w:color w:val="auto"/>
                <w:sz w:val="24"/>
                <w:szCs w:val="22"/>
              </w:rPr>
            </w:pPr>
            <w:r>
              <w:rPr>
                <w:color w:val="auto"/>
                <w:sz w:val="24"/>
                <w:szCs w:val="22"/>
              </w:rPr>
              <w:t>根据以上结论，给出污染物排放量核算见下表。</w:t>
            </w:r>
          </w:p>
          <w:p>
            <w:pPr>
              <w:pStyle w:val="2"/>
              <w:ind w:firstLine="422"/>
              <w:jc w:val="center"/>
              <w:rPr>
                <w:b/>
                <w:bCs/>
                <w:color w:val="auto"/>
                <w:szCs w:val="28"/>
              </w:rPr>
            </w:pPr>
            <w:r>
              <w:rPr>
                <w:b/>
                <w:bCs/>
                <w:color w:val="auto"/>
                <w:szCs w:val="28"/>
              </w:rPr>
              <w:t>表</w:t>
            </w:r>
            <w:r>
              <w:rPr>
                <w:rFonts w:hint="eastAsia"/>
                <w:b/>
                <w:bCs/>
                <w:color w:val="auto"/>
                <w:szCs w:val="28"/>
              </w:rPr>
              <w:t>7-</w:t>
            </w:r>
            <w:r>
              <w:rPr>
                <w:b/>
                <w:bCs/>
                <w:color w:val="auto"/>
                <w:szCs w:val="28"/>
              </w:rPr>
              <w:t>7大气污染物有组织排放核算表</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373"/>
              <w:gridCol w:w="2444"/>
              <w:gridCol w:w="838"/>
              <w:gridCol w:w="1647"/>
              <w:gridCol w:w="1639"/>
              <w:gridCol w:w="13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42" w:hRule="atLeast"/>
                <w:tblHeader/>
              </w:trPr>
              <w:tc>
                <w:tcPr>
                  <w:tcW w:w="1373" w:type="dxa"/>
                  <w:vMerge w:val="restart"/>
                  <w:vAlign w:val="center"/>
                </w:tcPr>
                <w:p>
                  <w:pPr>
                    <w:widowControl/>
                    <w:spacing w:line="300" w:lineRule="exact"/>
                    <w:ind w:firstLine="14"/>
                    <w:textAlignment w:val="center"/>
                    <w:rPr>
                      <w:color w:val="auto"/>
                      <w:szCs w:val="21"/>
                    </w:rPr>
                  </w:pPr>
                  <w:r>
                    <w:rPr>
                      <w:color w:val="auto"/>
                      <w:kern w:val="0"/>
                      <w:szCs w:val="21"/>
                    </w:rPr>
                    <w:t>排放口编号</w:t>
                  </w:r>
                </w:p>
              </w:tc>
              <w:tc>
                <w:tcPr>
                  <w:tcW w:w="2444" w:type="dxa"/>
                  <w:vMerge w:val="restart"/>
                  <w:vAlign w:val="center"/>
                </w:tcPr>
                <w:p>
                  <w:pPr>
                    <w:widowControl/>
                    <w:spacing w:line="300" w:lineRule="exact"/>
                    <w:ind w:firstLine="14"/>
                    <w:jc w:val="center"/>
                    <w:textAlignment w:val="center"/>
                    <w:rPr>
                      <w:color w:val="auto"/>
                      <w:szCs w:val="21"/>
                    </w:rPr>
                  </w:pPr>
                  <w:r>
                    <w:rPr>
                      <w:color w:val="auto"/>
                      <w:kern w:val="0"/>
                      <w:szCs w:val="21"/>
                    </w:rPr>
                    <w:t>污染源名称</w:t>
                  </w:r>
                </w:p>
              </w:tc>
              <w:tc>
                <w:tcPr>
                  <w:tcW w:w="838" w:type="dxa"/>
                  <w:vMerge w:val="restart"/>
                  <w:vAlign w:val="center"/>
                </w:tcPr>
                <w:p>
                  <w:pPr>
                    <w:widowControl/>
                    <w:spacing w:line="300" w:lineRule="exact"/>
                    <w:ind w:left="-105" w:leftChars="-50" w:right="-105" w:rightChars="-50" w:firstLine="14"/>
                    <w:jc w:val="center"/>
                    <w:textAlignment w:val="center"/>
                    <w:rPr>
                      <w:color w:val="auto"/>
                      <w:szCs w:val="21"/>
                    </w:rPr>
                  </w:pPr>
                  <w:r>
                    <w:rPr>
                      <w:color w:val="auto"/>
                      <w:kern w:val="0"/>
                      <w:szCs w:val="21"/>
                    </w:rPr>
                    <w:t>污染物</w:t>
                  </w:r>
                </w:p>
              </w:tc>
              <w:tc>
                <w:tcPr>
                  <w:tcW w:w="1647" w:type="dxa"/>
                  <w:vAlign w:val="center"/>
                </w:tcPr>
                <w:p>
                  <w:pPr>
                    <w:widowControl/>
                    <w:spacing w:line="300" w:lineRule="exact"/>
                    <w:ind w:firstLine="14"/>
                    <w:jc w:val="center"/>
                    <w:textAlignment w:val="center"/>
                    <w:rPr>
                      <w:b/>
                      <w:color w:val="auto"/>
                      <w:szCs w:val="21"/>
                    </w:rPr>
                  </w:pPr>
                  <w:r>
                    <w:rPr>
                      <w:b/>
                      <w:color w:val="auto"/>
                      <w:szCs w:val="21"/>
                    </w:rPr>
                    <w:t>核算排放浓度</w:t>
                  </w:r>
                </w:p>
              </w:tc>
              <w:tc>
                <w:tcPr>
                  <w:tcW w:w="1639" w:type="dxa"/>
                  <w:vAlign w:val="center"/>
                </w:tcPr>
                <w:p>
                  <w:pPr>
                    <w:widowControl/>
                    <w:spacing w:line="300" w:lineRule="exact"/>
                    <w:ind w:firstLine="14"/>
                    <w:jc w:val="center"/>
                    <w:textAlignment w:val="center"/>
                    <w:rPr>
                      <w:color w:val="auto"/>
                      <w:kern w:val="0"/>
                      <w:szCs w:val="21"/>
                    </w:rPr>
                  </w:pPr>
                  <w:r>
                    <w:rPr>
                      <w:color w:val="auto"/>
                      <w:kern w:val="0"/>
                      <w:szCs w:val="21"/>
                    </w:rPr>
                    <w:t>核算排放速率</w:t>
                  </w:r>
                </w:p>
              </w:tc>
              <w:tc>
                <w:tcPr>
                  <w:tcW w:w="1373" w:type="dxa"/>
                  <w:vAlign w:val="center"/>
                </w:tcPr>
                <w:p>
                  <w:pPr>
                    <w:widowControl/>
                    <w:spacing w:line="300" w:lineRule="exact"/>
                    <w:ind w:firstLine="14"/>
                    <w:jc w:val="center"/>
                    <w:textAlignment w:val="center"/>
                    <w:rPr>
                      <w:color w:val="auto"/>
                      <w:kern w:val="0"/>
                      <w:szCs w:val="21"/>
                    </w:rPr>
                  </w:pPr>
                  <w:r>
                    <w:rPr>
                      <w:color w:val="auto"/>
                      <w:kern w:val="0"/>
                      <w:szCs w:val="21"/>
                    </w:rPr>
                    <w:t>核算排放量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blHeader/>
              </w:trPr>
              <w:tc>
                <w:tcPr>
                  <w:tcW w:w="1373" w:type="dxa"/>
                  <w:vMerge w:val="continue"/>
                  <w:vAlign w:val="center"/>
                </w:tcPr>
                <w:p>
                  <w:pPr>
                    <w:widowControl/>
                    <w:spacing w:line="300" w:lineRule="exact"/>
                    <w:ind w:firstLine="14"/>
                    <w:jc w:val="center"/>
                    <w:rPr>
                      <w:color w:val="auto"/>
                      <w:szCs w:val="21"/>
                    </w:rPr>
                  </w:pPr>
                </w:p>
              </w:tc>
              <w:tc>
                <w:tcPr>
                  <w:tcW w:w="2444" w:type="dxa"/>
                  <w:vMerge w:val="continue"/>
                  <w:vAlign w:val="center"/>
                </w:tcPr>
                <w:p>
                  <w:pPr>
                    <w:widowControl/>
                    <w:spacing w:line="300" w:lineRule="exact"/>
                    <w:ind w:firstLine="14"/>
                    <w:jc w:val="center"/>
                    <w:textAlignment w:val="center"/>
                    <w:rPr>
                      <w:color w:val="auto"/>
                      <w:szCs w:val="21"/>
                    </w:rPr>
                  </w:pPr>
                </w:p>
              </w:tc>
              <w:tc>
                <w:tcPr>
                  <w:tcW w:w="838" w:type="dxa"/>
                  <w:vMerge w:val="continue"/>
                  <w:vAlign w:val="center"/>
                </w:tcPr>
                <w:p>
                  <w:pPr>
                    <w:widowControl/>
                    <w:spacing w:line="300" w:lineRule="exact"/>
                    <w:ind w:left="-105" w:leftChars="-50" w:right="-105" w:rightChars="-50" w:firstLine="14"/>
                    <w:jc w:val="center"/>
                    <w:rPr>
                      <w:color w:val="auto"/>
                      <w:szCs w:val="21"/>
                    </w:rPr>
                  </w:pPr>
                </w:p>
              </w:tc>
              <w:tc>
                <w:tcPr>
                  <w:tcW w:w="1647" w:type="dxa"/>
                  <w:vAlign w:val="center"/>
                </w:tcPr>
                <w:p>
                  <w:pPr>
                    <w:widowControl/>
                    <w:spacing w:line="300" w:lineRule="exact"/>
                    <w:ind w:firstLine="14"/>
                    <w:jc w:val="center"/>
                    <w:textAlignment w:val="center"/>
                    <w:rPr>
                      <w:b/>
                      <w:color w:val="auto"/>
                      <w:szCs w:val="21"/>
                    </w:rPr>
                  </w:pPr>
                  <w:r>
                    <w:rPr>
                      <w:b/>
                      <w:color w:val="auto"/>
                      <w:kern w:val="0"/>
                      <w:szCs w:val="21"/>
                    </w:rPr>
                    <w:t>mg/m</w:t>
                  </w:r>
                  <w:r>
                    <w:rPr>
                      <w:b/>
                      <w:color w:val="auto"/>
                      <w:kern w:val="0"/>
                      <w:szCs w:val="21"/>
                      <w:vertAlign w:val="superscript"/>
                    </w:rPr>
                    <w:t>3</w:t>
                  </w:r>
                </w:p>
              </w:tc>
              <w:tc>
                <w:tcPr>
                  <w:tcW w:w="1639" w:type="dxa"/>
                  <w:vAlign w:val="center"/>
                </w:tcPr>
                <w:p>
                  <w:pPr>
                    <w:widowControl/>
                    <w:spacing w:line="300" w:lineRule="exact"/>
                    <w:ind w:firstLine="14"/>
                    <w:jc w:val="center"/>
                    <w:textAlignment w:val="center"/>
                    <w:rPr>
                      <w:color w:val="auto"/>
                      <w:szCs w:val="21"/>
                    </w:rPr>
                  </w:pPr>
                  <w:r>
                    <w:rPr>
                      <w:color w:val="auto"/>
                      <w:kern w:val="0"/>
                      <w:szCs w:val="21"/>
                    </w:rPr>
                    <w:t>kg/h</w:t>
                  </w:r>
                </w:p>
              </w:tc>
              <w:tc>
                <w:tcPr>
                  <w:tcW w:w="1373" w:type="dxa"/>
                  <w:vAlign w:val="center"/>
                </w:tcPr>
                <w:p>
                  <w:pPr>
                    <w:widowControl/>
                    <w:spacing w:line="300" w:lineRule="exact"/>
                    <w:ind w:firstLine="14"/>
                    <w:jc w:val="center"/>
                    <w:textAlignment w:val="center"/>
                    <w:rPr>
                      <w:color w:val="auto"/>
                      <w:szCs w:val="21"/>
                    </w:rPr>
                  </w:pPr>
                  <w:r>
                    <w:rPr>
                      <w:color w:val="auto"/>
                      <w:kern w:val="0"/>
                      <w:szCs w:val="21"/>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9314" w:type="dxa"/>
                  <w:gridSpan w:val="6"/>
                  <w:vAlign w:val="center"/>
                </w:tcPr>
                <w:p>
                  <w:pPr>
                    <w:widowControl/>
                    <w:spacing w:line="300" w:lineRule="exact"/>
                    <w:ind w:firstLine="14"/>
                    <w:jc w:val="center"/>
                    <w:textAlignment w:val="center"/>
                    <w:rPr>
                      <w:b/>
                      <w:color w:val="auto"/>
                      <w:kern w:val="0"/>
                      <w:szCs w:val="21"/>
                    </w:rPr>
                  </w:pPr>
                  <w:r>
                    <w:rPr>
                      <w:b/>
                      <w:color w:val="auto"/>
                      <w:kern w:val="0"/>
                      <w:szCs w:val="21"/>
                    </w:rPr>
                    <w:t>主要排放口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Align w:val="center"/>
                </w:tcPr>
                <w:p>
                  <w:pPr>
                    <w:widowControl/>
                    <w:spacing w:line="300" w:lineRule="exact"/>
                    <w:ind w:firstLine="14"/>
                    <w:jc w:val="center"/>
                    <w:rPr>
                      <w:color w:val="auto"/>
                      <w:kern w:val="0"/>
                      <w:szCs w:val="21"/>
                    </w:rPr>
                  </w:pPr>
                  <w:r>
                    <w:rPr>
                      <w:color w:val="auto"/>
                      <w:kern w:val="0"/>
                      <w:szCs w:val="21"/>
                    </w:rPr>
                    <w:t>1#</w:t>
                  </w:r>
                </w:p>
              </w:tc>
              <w:tc>
                <w:tcPr>
                  <w:tcW w:w="2444" w:type="dxa"/>
                  <w:vAlign w:val="center"/>
                </w:tcPr>
                <w:p>
                  <w:pPr>
                    <w:widowControl/>
                    <w:spacing w:line="300" w:lineRule="exact"/>
                    <w:ind w:firstLine="14"/>
                    <w:jc w:val="center"/>
                    <w:rPr>
                      <w:color w:val="auto"/>
                      <w:szCs w:val="21"/>
                    </w:rPr>
                  </w:pPr>
                  <w:r>
                    <w:rPr>
                      <w:rFonts w:hint="eastAsia"/>
                      <w:color w:val="auto"/>
                      <w:szCs w:val="21"/>
                    </w:rPr>
                    <w:t>筒仓粉尘</w:t>
                  </w:r>
                </w:p>
              </w:tc>
              <w:tc>
                <w:tcPr>
                  <w:tcW w:w="838" w:type="dxa"/>
                  <w:vAlign w:val="center"/>
                </w:tcPr>
                <w:p>
                  <w:pPr>
                    <w:spacing w:line="260" w:lineRule="exact"/>
                    <w:jc w:val="center"/>
                    <w:rPr>
                      <w:color w:val="auto"/>
                      <w:szCs w:val="21"/>
                    </w:rPr>
                  </w:pPr>
                  <w:r>
                    <w:rPr>
                      <w:rFonts w:hint="eastAsia"/>
                      <w:color w:val="auto"/>
                      <w:szCs w:val="21"/>
                    </w:rPr>
                    <w:t>颗粒物</w:t>
                  </w:r>
                </w:p>
              </w:tc>
              <w:tc>
                <w:tcPr>
                  <w:tcW w:w="1647" w:type="dxa"/>
                  <w:vAlign w:val="center"/>
                </w:tcPr>
                <w:p>
                  <w:pPr>
                    <w:spacing w:line="260" w:lineRule="exact"/>
                    <w:jc w:val="center"/>
                    <w:rPr>
                      <w:color w:val="auto"/>
                      <w:szCs w:val="21"/>
                    </w:rPr>
                  </w:pPr>
                  <w:r>
                    <w:rPr>
                      <w:rFonts w:hint="eastAsia"/>
                      <w:color w:val="auto"/>
                      <w:szCs w:val="21"/>
                    </w:rPr>
                    <w:t>4.54</w:t>
                  </w:r>
                </w:p>
              </w:tc>
              <w:tc>
                <w:tcPr>
                  <w:tcW w:w="1639" w:type="dxa"/>
                  <w:vAlign w:val="center"/>
                </w:tcPr>
                <w:p>
                  <w:pPr>
                    <w:spacing w:line="260" w:lineRule="exact"/>
                    <w:jc w:val="center"/>
                    <w:rPr>
                      <w:color w:val="auto"/>
                      <w:szCs w:val="21"/>
                    </w:rPr>
                  </w:pPr>
                  <w:r>
                    <w:rPr>
                      <w:color w:val="auto"/>
                      <w:szCs w:val="21"/>
                    </w:rPr>
                    <w:t>0.071</w:t>
                  </w:r>
                </w:p>
              </w:tc>
              <w:tc>
                <w:tcPr>
                  <w:tcW w:w="1373" w:type="dxa"/>
                  <w:vAlign w:val="center"/>
                </w:tcPr>
                <w:p>
                  <w:pPr>
                    <w:spacing w:line="260" w:lineRule="exact"/>
                    <w:jc w:val="center"/>
                    <w:rPr>
                      <w:color w:val="auto"/>
                      <w:szCs w:val="21"/>
                    </w:rPr>
                  </w:pPr>
                  <w:r>
                    <w:rPr>
                      <w:color w:val="auto"/>
                      <w:szCs w:val="21"/>
                    </w:rP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Align w:val="center"/>
                </w:tcPr>
                <w:p>
                  <w:pPr>
                    <w:widowControl/>
                    <w:spacing w:line="300" w:lineRule="exact"/>
                    <w:ind w:firstLine="14"/>
                    <w:jc w:val="center"/>
                    <w:rPr>
                      <w:color w:val="auto"/>
                      <w:kern w:val="0"/>
                      <w:szCs w:val="21"/>
                    </w:rPr>
                  </w:pPr>
                  <w:r>
                    <w:rPr>
                      <w:rFonts w:hint="eastAsia"/>
                      <w:color w:val="auto"/>
                      <w:kern w:val="0"/>
                      <w:szCs w:val="21"/>
                    </w:rPr>
                    <w:t>2</w:t>
                  </w:r>
                  <w:r>
                    <w:rPr>
                      <w:color w:val="auto"/>
                      <w:kern w:val="0"/>
                      <w:szCs w:val="21"/>
                    </w:rPr>
                    <w:t>#</w:t>
                  </w:r>
                </w:p>
              </w:tc>
              <w:tc>
                <w:tcPr>
                  <w:tcW w:w="2444" w:type="dxa"/>
                  <w:vAlign w:val="center"/>
                </w:tcPr>
                <w:p>
                  <w:pPr>
                    <w:widowControl/>
                    <w:spacing w:line="300" w:lineRule="exact"/>
                    <w:ind w:firstLine="14"/>
                    <w:jc w:val="center"/>
                    <w:rPr>
                      <w:color w:val="auto"/>
                      <w:szCs w:val="21"/>
                    </w:rPr>
                  </w:pPr>
                  <w:r>
                    <w:rPr>
                      <w:rFonts w:hint="eastAsia"/>
                      <w:color w:val="auto"/>
                      <w:szCs w:val="21"/>
                    </w:rPr>
                    <w:t>制砂生产线粉尘</w:t>
                  </w:r>
                </w:p>
              </w:tc>
              <w:tc>
                <w:tcPr>
                  <w:tcW w:w="838" w:type="dxa"/>
                  <w:vAlign w:val="center"/>
                </w:tcPr>
                <w:p>
                  <w:pPr>
                    <w:spacing w:line="260" w:lineRule="exact"/>
                    <w:jc w:val="center"/>
                    <w:rPr>
                      <w:color w:val="auto"/>
                      <w:szCs w:val="21"/>
                    </w:rPr>
                  </w:pPr>
                  <w:r>
                    <w:rPr>
                      <w:rFonts w:hint="eastAsia"/>
                      <w:color w:val="auto"/>
                      <w:szCs w:val="21"/>
                    </w:rPr>
                    <w:t>颗粒物</w:t>
                  </w:r>
                </w:p>
              </w:tc>
              <w:tc>
                <w:tcPr>
                  <w:tcW w:w="1647" w:type="dxa"/>
                  <w:vAlign w:val="center"/>
                </w:tcPr>
                <w:p>
                  <w:pPr>
                    <w:spacing w:line="260" w:lineRule="exact"/>
                    <w:jc w:val="center"/>
                    <w:rPr>
                      <w:color w:val="auto"/>
                      <w:szCs w:val="21"/>
                    </w:rPr>
                  </w:pPr>
                  <w:r>
                    <w:rPr>
                      <w:color w:val="auto"/>
                      <w:szCs w:val="21"/>
                    </w:rPr>
                    <w:t>2.34</w:t>
                  </w:r>
                </w:p>
              </w:tc>
              <w:tc>
                <w:tcPr>
                  <w:tcW w:w="1639" w:type="dxa"/>
                  <w:vAlign w:val="center"/>
                </w:tcPr>
                <w:p>
                  <w:pPr>
                    <w:spacing w:line="260" w:lineRule="exact"/>
                    <w:jc w:val="center"/>
                    <w:rPr>
                      <w:color w:val="auto"/>
                      <w:szCs w:val="21"/>
                    </w:rPr>
                  </w:pPr>
                  <w:r>
                    <w:rPr>
                      <w:color w:val="auto"/>
                      <w:szCs w:val="21"/>
                    </w:rPr>
                    <w:t>0.07</w:t>
                  </w:r>
                </w:p>
              </w:tc>
              <w:tc>
                <w:tcPr>
                  <w:tcW w:w="1373" w:type="dxa"/>
                  <w:vAlign w:val="center"/>
                </w:tcPr>
                <w:p>
                  <w:pPr>
                    <w:spacing w:line="260" w:lineRule="exact"/>
                    <w:jc w:val="center"/>
                    <w:rPr>
                      <w:color w:val="auto"/>
                      <w:szCs w:val="21"/>
                    </w:rPr>
                  </w:pPr>
                  <w:r>
                    <w:rPr>
                      <w:color w:val="auto"/>
                      <w:szCs w:val="21"/>
                    </w:rPr>
                    <w:t>0.37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62" w:hRule="atLeast"/>
              </w:trPr>
              <w:tc>
                <w:tcPr>
                  <w:tcW w:w="3817" w:type="dxa"/>
                  <w:gridSpan w:val="2"/>
                  <w:vAlign w:val="center"/>
                </w:tcPr>
                <w:p>
                  <w:pPr>
                    <w:widowControl/>
                    <w:spacing w:line="300" w:lineRule="exact"/>
                    <w:ind w:firstLine="14"/>
                    <w:jc w:val="center"/>
                    <w:textAlignment w:val="center"/>
                    <w:rPr>
                      <w:color w:val="auto"/>
                      <w:szCs w:val="21"/>
                    </w:rPr>
                  </w:pPr>
                  <w:r>
                    <w:rPr>
                      <w:color w:val="auto"/>
                      <w:szCs w:val="21"/>
                    </w:rPr>
                    <w:t>主要排放口合计</w:t>
                  </w:r>
                </w:p>
              </w:tc>
              <w:tc>
                <w:tcPr>
                  <w:tcW w:w="4124" w:type="dxa"/>
                  <w:gridSpan w:val="3"/>
                  <w:vAlign w:val="center"/>
                </w:tcPr>
                <w:p>
                  <w:pPr>
                    <w:spacing w:line="260" w:lineRule="exact"/>
                    <w:jc w:val="center"/>
                    <w:rPr>
                      <w:color w:val="auto"/>
                      <w:szCs w:val="21"/>
                    </w:rPr>
                  </w:pPr>
                  <w:r>
                    <w:rPr>
                      <w:rFonts w:hint="eastAsia"/>
                      <w:color w:val="auto"/>
                      <w:szCs w:val="21"/>
                    </w:rPr>
                    <w:t>颗粒物</w:t>
                  </w:r>
                </w:p>
              </w:tc>
              <w:tc>
                <w:tcPr>
                  <w:tcW w:w="1373" w:type="dxa"/>
                  <w:vAlign w:val="center"/>
                </w:tcPr>
                <w:p>
                  <w:pPr>
                    <w:spacing w:line="260" w:lineRule="exact"/>
                    <w:jc w:val="center"/>
                    <w:rPr>
                      <w:color w:val="auto"/>
                      <w:szCs w:val="21"/>
                    </w:rPr>
                  </w:pPr>
                  <w:r>
                    <w:rPr>
                      <w:color w:val="auto"/>
                      <w:szCs w:val="21"/>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9314" w:type="dxa"/>
                  <w:gridSpan w:val="6"/>
                  <w:vAlign w:val="center"/>
                </w:tcPr>
                <w:p>
                  <w:pPr>
                    <w:widowControl/>
                    <w:spacing w:line="300" w:lineRule="exact"/>
                    <w:ind w:firstLine="14"/>
                    <w:jc w:val="center"/>
                    <w:textAlignment w:val="center"/>
                    <w:rPr>
                      <w:b/>
                      <w:color w:val="auto"/>
                      <w:kern w:val="0"/>
                      <w:szCs w:val="21"/>
                    </w:rPr>
                  </w:pPr>
                  <w:r>
                    <w:rPr>
                      <w:b/>
                      <w:color w:val="auto"/>
                      <w:kern w:val="0"/>
                      <w:szCs w:val="21"/>
                    </w:rPr>
                    <w:t>一般排放口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Merge w:val="restart"/>
                  <w:vAlign w:val="center"/>
                </w:tcPr>
                <w:p>
                  <w:pPr>
                    <w:widowControl/>
                    <w:spacing w:line="300" w:lineRule="exact"/>
                    <w:ind w:firstLine="14"/>
                    <w:jc w:val="center"/>
                    <w:textAlignment w:val="center"/>
                    <w:rPr>
                      <w:color w:val="auto"/>
                      <w:kern w:val="0"/>
                      <w:szCs w:val="21"/>
                    </w:rPr>
                  </w:pPr>
                  <w:r>
                    <w:rPr>
                      <w:color w:val="auto"/>
                      <w:kern w:val="0"/>
                      <w:szCs w:val="21"/>
                    </w:rPr>
                    <w:t>3#</w:t>
                  </w:r>
                </w:p>
              </w:tc>
              <w:tc>
                <w:tcPr>
                  <w:tcW w:w="2444" w:type="dxa"/>
                  <w:vMerge w:val="restart"/>
                  <w:vAlign w:val="center"/>
                </w:tcPr>
                <w:p>
                  <w:pPr>
                    <w:widowControl/>
                    <w:spacing w:line="300" w:lineRule="exact"/>
                    <w:ind w:firstLine="14"/>
                    <w:jc w:val="center"/>
                    <w:textAlignment w:val="center"/>
                    <w:rPr>
                      <w:color w:val="auto"/>
                      <w:kern w:val="0"/>
                      <w:szCs w:val="21"/>
                    </w:rPr>
                  </w:pPr>
                  <w:r>
                    <w:rPr>
                      <w:rFonts w:hint="eastAsia"/>
                      <w:color w:val="auto"/>
                      <w:kern w:val="0"/>
                      <w:szCs w:val="21"/>
                    </w:rPr>
                    <w:t>发电机尾气</w:t>
                  </w:r>
                </w:p>
              </w:tc>
              <w:tc>
                <w:tcPr>
                  <w:tcW w:w="838" w:type="dxa"/>
                  <w:vAlign w:val="center"/>
                </w:tcPr>
                <w:p>
                  <w:pPr>
                    <w:spacing w:line="260" w:lineRule="exact"/>
                    <w:jc w:val="center"/>
                    <w:rPr>
                      <w:color w:val="auto"/>
                      <w:szCs w:val="21"/>
                    </w:rPr>
                  </w:pPr>
                  <w:r>
                    <w:rPr>
                      <w:color w:val="auto"/>
                      <w:szCs w:val="21"/>
                    </w:rPr>
                    <w:t>CO</w:t>
                  </w:r>
                </w:p>
              </w:tc>
              <w:tc>
                <w:tcPr>
                  <w:tcW w:w="1647" w:type="dxa"/>
                  <w:vAlign w:val="center"/>
                </w:tcPr>
                <w:p>
                  <w:pPr>
                    <w:spacing w:line="260" w:lineRule="exact"/>
                    <w:jc w:val="center"/>
                    <w:rPr>
                      <w:color w:val="auto"/>
                      <w:szCs w:val="21"/>
                    </w:rPr>
                  </w:pPr>
                  <w:r>
                    <w:rPr>
                      <w:rFonts w:hint="eastAsia"/>
                      <w:color w:val="auto"/>
                      <w:szCs w:val="21"/>
                    </w:rPr>
                    <w:t>0.78</w:t>
                  </w:r>
                </w:p>
              </w:tc>
              <w:tc>
                <w:tcPr>
                  <w:tcW w:w="1639" w:type="dxa"/>
                  <w:vAlign w:val="center"/>
                </w:tcPr>
                <w:p>
                  <w:pPr>
                    <w:spacing w:line="260" w:lineRule="exact"/>
                    <w:jc w:val="center"/>
                    <w:rPr>
                      <w:color w:val="auto"/>
                      <w:szCs w:val="21"/>
                    </w:rPr>
                  </w:pPr>
                  <w:r>
                    <w:rPr>
                      <w:rFonts w:hint="eastAsia"/>
                      <w:color w:val="auto"/>
                      <w:szCs w:val="21"/>
                    </w:rPr>
                    <w:t>0.12</w:t>
                  </w:r>
                </w:p>
              </w:tc>
              <w:tc>
                <w:tcPr>
                  <w:tcW w:w="1373" w:type="dxa"/>
                  <w:vAlign w:val="center"/>
                </w:tcPr>
                <w:p>
                  <w:pPr>
                    <w:spacing w:line="260" w:lineRule="exact"/>
                    <w:jc w:val="center"/>
                    <w:rPr>
                      <w:color w:val="auto"/>
                      <w:szCs w:val="21"/>
                    </w:rPr>
                  </w:pPr>
                  <w:r>
                    <w:rPr>
                      <w:color w:val="auto"/>
                      <w:szCs w:val="21"/>
                    </w:rPr>
                    <w:t>0.0</w:t>
                  </w:r>
                  <w:r>
                    <w:rPr>
                      <w:rFonts w:hint="eastAsia"/>
                      <w:color w:val="auto"/>
                      <w:szCs w:val="21"/>
                    </w:rPr>
                    <w:t>0</w:t>
                  </w:r>
                  <w:r>
                    <w:rPr>
                      <w:color w:val="auto"/>
                      <w:szCs w:val="21"/>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Merge w:val="continue"/>
                  <w:vAlign w:val="center"/>
                </w:tcPr>
                <w:p>
                  <w:pPr>
                    <w:widowControl/>
                    <w:spacing w:line="300" w:lineRule="exact"/>
                    <w:ind w:firstLine="14"/>
                    <w:jc w:val="center"/>
                    <w:textAlignment w:val="center"/>
                    <w:rPr>
                      <w:color w:val="auto"/>
                      <w:kern w:val="0"/>
                      <w:szCs w:val="21"/>
                    </w:rPr>
                  </w:pPr>
                </w:p>
              </w:tc>
              <w:tc>
                <w:tcPr>
                  <w:tcW w:w="2444" w:type="dxa"/>
                  <w:vMerge w:val="continue"/>
                  <w:vAlign w:val="center"/>
                </w:tcPr>
                <w:p>
                  <w:pPr>
                    <w:widowControl/>
                    <w:spacing w:line="300" w:lineRule="exact"/>
                    <w:ind w:firstLine="14"/>
                    <w:jc w:val="center"/>
                    <w:textAlignment w:val="center"/>
                    <w:rPr>
                      <w:color w:val="auto"/>
                      <w:kern w:val="0"/>
                      <w:szCs w:val="21"/>
                    </w:rPr>
                  </w:pPr>
                </w:p>
              </w:tc>
              <w:tc>
                <w:tcPr>
                  <w:tcW w:w="838" w:type="dxa"/>
                  <w:vAlign w:val="center"/>
                </w:tcPr>
                <w:p>
                  <w:pPr>
                    <w:spacing w:line="260" w:lineRule="exact"/>
                    <w:jc w:val="center"/>
                    <w:rPr>
                      <w:color w:val="auto"/>
                      <w:szCs w:val="21"/>
                    </w:rPr>
                  </w:pPr>
                  <w:r>
                    <w:rPr>
                      <w:color w:val="auto"/>
                      <w:szCs w:val="21"/>
                    </w:rPr>
                    <w:t>NOx</w:t>
                  </w:r>
                </w:p>
              </w:tc>
              <w:tc>
                <w:tcPr>
                  <w:tcW w:w="1647" w:type="dxa"/>
                  <w:vAlign w:val="center"/>
                </w:tcPr>
                <w:p>
                  <w:pPr>
                    <w:spacing w:line="260" w:lineRule="exact"/>
                    <w:jc w:val="center"/>
                    <w:rPr>
                      <w:color w:val="auto"/>
                      <w:szCs w:val="21"/>
                    </w:rPr>
                  </w:pPr>
                  <w:r>
                    <w:rPr>
                      <w:rFonts w:hint="eastAsia"/>
                      <w:color w:val="auto"/>
                      <w:szCs w:val="21"/>
                    </w:rPr>
                    <w:t>118.88</w:t>
                  </w:r>
                </w:p>
              </w:tc>
              <w:tc>
                <w:tcPr>
                  <w:tcW w:w="1639" w:type="dxa"/>
                  <w:vAlign w:val="center"/>
                </w:tcPr>
                <w:p>
                  <w:pPr>
                    <w:spacing w:line="260" w:lineRule="exact"/>
                    <w:jc w:val="center"/>
                    <w:rPr>
                      <w:color w:val="auto"/>
                      <w:szCs w:val="21"/>
                    </w:rPr>
                  </w:pPr>
                  <w:r>
                    <w:rPr>
                      <w:rFonts w:hint="eastAsia"/>
                      <w:color w:val="auto"/>
                      <w:szCs w:val="21"/>
                    </w:rPr>
                    <w:t>0.21</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Merge w:val="continue"/>
                  <w:vAlign w:val="center"/>
                </w:tcPr>
                <w:p>
                  <w:pPr>
                    <w:widowControl/>
                    <w:spacing w:line="300" w:lineRule="exact"/>
                    <w:ind w:firstLine="14"/>
                    <w:jc w:val="center"/>
                    <w:textAlignment w:val="center"/>
                    <w:rPr>
                      <w:color w:val="auto"/>
                      <w:kern w:val="0"/>
                      <w:szCs w:val="21"/>
                    </w:rPr>
                  </w:pPr>
                </w:p>
              </w:tc>
              <w:tc>
                <w:tcPr>
                  <w:tcW w:w="2444" w:type="dxa"/>
                  <w:vMerge w:val="continue"/>
                  <w:vAlign w:val="center"/>
                </w:tcPr>
                <w:p>
                  <w:pPr>
                    <w:widowControl/>
                    <w:spacing w:line="300" w:lineRule="exact"/>
                    <w:ind w:firstLine="14"/>
                    <w:jc w:val="center"/>
                    <w:textAlignment w:val="center"/>
                    <w:rPr>
                      <w:color w:val="auto"/>
                      <w:kern w:val="0"/>
                      <w:szCs w:val="21"/>
                    </w:rPr>
                  </w:pPr>
                </w:p>
              </w:tc>
              <w:tc>
                <w:tcPr>
                  <w:tcW w:w="838" w:type="dxa"/>
                  <w:vAlign w:val="center"/>
                </w:tcPr>
                <w:p>
                  <w:pPr>
                    <w:spacing w:line="260" w:lineRule="exact"/>
                    <w:jc w:val="center"/>
                    <w:rPr>
                      <w:color w:val="auto"/>
                      <w:szCs w:val="21"/>
                    </w:rPr>
                  </w:pPr>
                  <w:r>
                    <w:rPr>
                      <w:color w:val="auto"/>
                      <w:szCs w:val="21"/>
                    </w:rPr>
                    <w:t>烟尘</w:t>
                  </w:r>
                </w:p>
              </w:tc>
              <w:tc>
                <w:tcPr>
                  <w:tcW w:w="1647" w:type="dxa"/>
                  <w:vAlign w:val="center"/>
                </w:tcPr>
                <w:p>
                  <w:pPr>
                    <w:spacing w:line="260" w:lineRule="exact"/>
                    <w:jc w:val="center"/>
                    <w:rPr>
                      <w:color w:val="auto"/>
                      <w:szCs w:val="21"/>
                    </w:rPr>
                  </w:pPr>
                  <w:r>
                    <w:rPr>
                      <w:rFonts w:hint="eastAsia"/>
                      <w:color w:val="auto"/>
                      <w:szCs w:val="21"/>
                    </w:rPr>
                    <w:t>16.64</w:t>
                  </w:r>
                </w:p>
              </w:tc>
              <w:tc>
                <w:tcPr>
                  <w:tcW w:w="1639" w:type="dxa"/>
                  <w:vAlign w:val="center"/>
                </w:tcPr>
                <w:p>
                  <w:pPr>
                    <w:spacing w:line="260" w:lineRule="exact"/>
                    <w:jc w:val="center"/>
                    <w:rPr>
                      <w:color w:val="auto"/>
                      <w:szCs w:val="21"/>
                    </w:rPr>
                  </w:pPr>
                  <w:r>
                    <w:rPr>
                      <w:rFonts w:hint="eastAsia"/>
                      <w:color w:val="auto"/>
                      <w:szCs w:val="21"/>
                    </w:rPr>
                    <w:t>0.03</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1373" w:type="dxa"/>
                  <w:vMerge w:val="continue"/>
                  <w:vAlign w:val="center"/>
                </w:tcPr>
                <w:p>
                  <w:pPr>
                    <w:widowControl/>
                    <w:spacing w:line="300" w:lineRule="exact"/>
                    <w:ind w:firstLine="14"/>
                    <w:jc w:val="center"/>
                    <w:textAlignment w:val="center"/>
                    <w:rPr>
                      <w:color w:val="auto"/>
                      <w:kern w:val="0"/>
                      <w:szCs w:val="21"/>
                    </w:rPr>
                  </w:pPr>
                </w:p>
              </w:tc>
              <w:tc>
                <w:tcPr>
                  <w:tcW w:w="2444" w:type="dxa"/>
                  <w:vMerge w:val="continue"/>
                  <w:vAlign w:val="center"/>
                </w:tcPr>
                <w:p>
                  <w:pPr>
                    <w:widowControl/>
                    <w:spacing w:line="300" w:lineRule="exact"/>
                    <w:ind w:firstLine="14"/>
                    <w:jc w:val="center"/>
                    <w:textAlignment w:val="center"/>
                    <w:rPr>
                      <w:color w:val="auto"/>
                      <w:kern w:val="0"/>
                      <w:szCs w:val="21"/>
                    </w:rPr>
                  </w:pPr>
                </w:p>
              </w:tc>
              <w:tc>
                <w:tcPr>
                  <w:tcW w:w="838" w:type="dxa"/>
                  <w:vAlign w:val="center"/>
                </w:tcPr>
                <w:p>
                  <w:pPr>
                    <w:spacing w:line="260" w:lineRule="exact"/>
                    <w:jc w:val="center"/>
                    <w:rPr>
                      <w:color w:val="auto"/>
                      <w:szCs w:val="21"/>
                    </w:rPr>
                  </w:pPr>
                  <w:r>
                    <w:rPr>
                      <w:color w:val="auto"/>
                      <w:szCs w:val="21"/>
                    </w:rPr>
                    <w:t>SO</w:t>
                  </w:r>
                  <w:r>
                    <w:rPr>
                      <w:color w:val="auto"/>
                      <w:szCs w:val="21"/>
                      <w:vertAlign w:val="subscript"/>
                    </w:rPr>
                    <w:t>2</w:t>
                  </w:r>
                </w:p>
              </w:tc>
              <w:tc>
                <w:tcPr>
                  <w:tcW w:w="1647" w:type="dxa"/>
                  <w:vAlign w:val="center"/>
                </w:tcPr>
                <w:p>
                  <w:pPr>
                    <w:spacing w:line="260" w:lineRule="exact"/>
                    <w:jc w:val="center"/>
                    <w:rPr>
                      <w:color w:val="auto"/>
                      <w:szCs w:val="21"/>
                    </w:rPr>
                  </w:pPr>
                  <w:r>
                    <w:rPr>
                      <w:rFonts w:hint="eastAsia"/>
                      <w:color w:val="auto"/>
                      <w:szCs w:val="21"/>
                    </w:rPr>
                    <w:t>98.99</w:t>
                  </w:r>
                </w:p>
              </w:tc>
              <w:tc>
                <w:tcPr>
                  <w:tcW w:w="1639" w:type="dxa"/>
                  <w:vAlign w:val="center"/>
                </w:tcPr>
                <w:p>
                  <w:pPr>
                    <w:spacing w:line="260" w:lineRule="exact"/>
                    <w:jc w:val="center"/>
                    <w:rPr>
                      <w:color w:val="auto"/>
                      <w:szCs w:val="21"/>
                    </w:rPr>
                  </w:pPr>
                  <w:r>
                    <w:rPr>
                      <w:rFonts w:hint="eastAsia"/>
                      <w:color w:val="auto"/>
                      <w:szCs w:val="21"/>
                    </w:rPr>
                    <w:t>0.19</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817" w:type="dxa"/>
                  <w:gridSpan w:val="2"/>
                  <w:vAlign w:val="center"/>
                </w:tcPr>
                <w:p>
                  <w:pPr>
                    <w:widowControl/>
                    <w:spacing w:line="300" w:lineRule="exact"/>
                    <w:ind w:firstLine="14"/>
                    <w:jc w:val="center"/>
                    <w:textAlignment w:val="center"/>
                    <w:rPr>
                      <w:color w:val="auto"/>
                      <w:szCs w:val="21"/>
                    </w:rPr>
                  </w:pPr>
                  <w:r>
                    <w:rPr>
                      <w:rFonts w:hint="eastAsia"/>
                      <w:color w:val="auto"/>
                      <w:szCs w:val="21"/>
                    </w:rPr>
                    <w:t>一般</w:t>
                  </w:r>
                  <w:r>
                    <w:rPr>
                      <w:color w:val="auto"/>
                      <w:szCs w:val="21"/>
                    </w:rPr>
                    <w:t>排放口合计</w:t>
                  </w:r>
                </w:p>
              </w:tc>
              <w:tc>
                <w:tcPr>
                  <w:tcW w:w="4124" w:type="dxa"/>
                  <w:gridSpan w:val="3"/>
                  <w:vAlign w:val="center"/>
                </w:tcPr>
                <w:p>
                  <w:pPr>
                    <w:widowControl/>
                    <w:ind w:firstLine="14"/>
                    <w:jc w:val="center"/>
                    <w:rPr>
                      <w:b/>
                      <w:color w:val="auto"/>
                      <w:kern w:val="0"/>
                      <w:szCs w:val="21"/>
                    </w:rPr>
                  </w:pPr>
                  <w:r>
                    <w:rPr>
                      <w:color w:val="auto"/>
                      <w:szCs w:val="21"/>
                    </w:rPr>
                    <w:t>油烟</w:t>
                  </w:r>
                </w:p>
              </w:tc>
              <w:tc>
                <w:tcPr>
                  <w:tcW w:w="1373" w:type="dxa"/>
                  <w:vAlign w:val="center"/>
                </w:tcPr>
                <w:p>
                  <w:pPr>
                    <w:ind w:firstLine="14"/>
                    <w:jc w:val="center"/>
                    <w:rPr>
                      <w:b/>
                      <w:color w:val="auto"/>
                      <w:szCs w:val="21"/>
                    </w:rPr>
                  </w:pPr>
                  <w:r>
                    <w:rPr>
                      <w:color w:val="auto"/>
                      <w:szCs w:val="21"/>
                    </w:rPr>
                    <w:t>0.0</w:t>
                  </w:r>
                  <w:r>
                    <w:rPr>
                      <w:rFonts w:hint="eastAsia"/>
                      <w:color w:val="auto"/>
                      <w:szCs w:val="21"/>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9314" w:type="dxa"/>
                  <w:gridSpan w:val="6"/>
                  <w:vAlign w:val="center"/>
                </w:tcPr>
                <w:p>
                  <w:pPr>
                    <w:ind w:firstLine="14"/>
                    <w:jc w:val="center"/>
                    <w:rPr>
                      <w:color w:val="auto"/>
                      <w:szCs w:val="21"/>
                    </w:rPr>
                  </w:pPr>
                  <w:r>
                    <w:rPr>
                      <w:b/>
                      <w:color w:val="auto"/>
                      <w:kern w:val="0"/>
                      <w:szCs w:val="21"/>
                    </w:rPr>
                    <w:t>有组织排放总计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21" w:hRule="atLeast"/>
              </w:trPr>
              <w:tc>
                <w:tcPr>
                  <w:tcW w:w="3817" w:type="dxa"/>
                  <w:gridSpan w:val="2"/>
                  <w:vMerge w:val="restart"/>
                  <w:vAlign w:val="center"/>
                </w:tcPr>
                <w:p>
                  <w:pPr>
                    <w:spacing w:line="300" w:lineRule="exact"/>
                    <w:ind w:firstLine="14"/>
                    <w:jc w:val="center"/>
                    <w:textAlignment w:val="center"/>
                    <w:rPr>
                      <w:color w:val="auto"/>
                      <w:szCs w:val="21"/>
                    </w:rPr>
                  </w:pPr>
                  <w:r>
                    <w:rPr>
                      <w:color w:val="auto"/>
                      <w:szCs w:val="21"/>
                    </w:rPr>
                    <w:t>有组织排放总计</w:t>
                  </w:r>
                </w:p>
              </w:tc>
              <w:tc>
                <w:tcPr>
                  <w:tcW w:w="4124" w:type="dxa"/>
                  <w:gridSpan w:val="3"/>
                  <w:vAlign w:val="center"/>
                </w:tcPr>
                <w:p>
                  <w:pPr>
                    <w:spacing w:line="260" w:lineRule="exact"/>
                    <w:jc w:val="center"/>
                    <w:rPr>
                      <w:color w:val="auto"/>
                      <w:szCs w:val="21"/>
                    </w:rPr>
                  </w:pPr>
                  <w:r>
                    <w:rPr>
                      <w:rFonts w:hint="eastAsia"/>
                      <w:color w:val="auto"/>
                      <w:szCs w:val="21"/>
                    </w:rPr>
                    <w:t>颗粒物</w:t>
                  </w:r>
                </w:p>
              </w:tc>
              <w:tc>
                <w:tcPr>
                  <w:tcW w:w="1373" w:type="dxa"/>
                  <w:vAlign w:val="center"/>
                </w:tcPr>
                <w:p>
                  <w:pPr>
                    <w:spacing w:line="260" w:lineRule="exact"/>
                    <w:jc w:val="center"/>
                    <w:rPr>
                      <w:color w:val="auto"/>
                      <w:szCs w:val="21"/>
                    </w:rPr>
                  </w:pPr>
                  <w:r>
                    <w:rPr>
                      <w:color w:val="auto"/>
                      <w:szCs w:val="21"/>
                    </w:rPr>
                    <w:t>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817" w:type="dxa"/>
                  <w:gridSpan w:val="2"/>
                  <w:vMerge w:val="continue"/>
                  <w:vAlign w:val="center"/>
                </w:tcPr>
                <w:p>
                  <w:pPr>
                    <w:spacing w:line="300" w:lineRule="exact"/>
                    <w:ind w:firstLine="14"/>
                    <w:jc w:val="center"/>
                    <w:textAlignment w:val="center"/>
                    <w:rPr>
                      <w:color w:val="auto"/>
                      <w:szCs w:val="21"/>
                    </w:rPr>
                  </w:pPr>
                </w:p>
              </w:tc>
              <w:tc>
                <w:tcPr>
                  <w:tcW w:w="4124" w:type="dxa"/>
                  <w:gridSpan w:val="3"/>
                  <w:vAlign w:val="center"/>
                </w:tcPr>
                <w:p>
                  <w:pPr>
                    <w:spacing w:line="260" w:lineRule="exact"/>
                    <w:jc w:val="center"/>
                    <w:rPr>
                      <w:color w:val="auto"/>
                      <w:szCs w:val="21"/>
                    </w:rPr>
                  </w:pPr>
                  <w:r>
                    <w:rPr>
                      <w:color w:val="auto"/>
                      <w:szCs w:val="21"/>
                    </w:rPr>
                    <w:t>CO</w:t>
                  </w:r>
                </w:p>
              </w:tc>
              <w:tc>
                <w:tcPr>
                  <w:tcW w:w="1373" w:type="dxa"/>
                  <w:vAlign w:val="center"/>
                </w:tcPr>
                <w:p>
                  <w:pPr>
                    <w:spacing w:line="260" w:lineRule="exact"/>
                    <w:jc w:val="center"/>
                    <w:rPr>
                      <w:color w:val="auto"/>
                      <w:szCs w:val="21"/>
                    </w:rPr>
                  </w:pPr>
                  <w:r>
                    <w:rPr>
                      <w:color w:val="auto"/>
                      <w:szCs w:val="21"/>
                    </w:rPr>
                    <w:t>0.0</w:t>
                  </w:r>
                  <w:r>
                    <w:rPr>
                      <w:rFonts w:hint="eastAsia"/>
                      <w:color w:val="auto"/>
                      <w:szCs w:val="21"/>
                    </w:rPr>
                    <w:t>0</w:t>
                  </w:r>
                  <w:r>
                    <w:rPr>
                      <w:color w:val="auto"/>
                      <w:szCs w:val="21"/>
                    </w:rPr>
                    <w:t>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817" w:type="dxa"/>
                  <w:gridSpan w:val="2"/>
                  <w:vMerge w:val="continue"/>
                  <w:vAlign w:val="center"/>
                </w:tcPr>
                <w:p>
                  <w:pPr>
                    <w:spacing w:line="300" w:lineRule="exact"/>
                    <w:ind w:firstLine="14"/>
                    <w:jc w:val="center"/>
                    <w:textAlignment w:val="center"/>
                    <w:rPr>
                      <w:color w:val="auto"/>
                      <w:szCs w:val="21"/>
                    </w:rPr>
                  </w:pPr>
                </w:p>
              </w:tc>
              <w:tc>
                <w:tcPr>
                  <w:tcW w:w="4124" w:type="dxa"/>
                  <w:gridSpan w:val="3"/>
                  <w:vAlign w:val="center"/>
                </w:tcPr>
                <w:p>
                  <w:pPr>
                    <w:spacing w:line="260" w:lineRule="exact"/>
                    <w:jc w:val="center"/>
                    <w:rPr>
                      <w:color w:val="auto"/>
                      <w:szCs w:val="21"/>
                    </w:rPr>
                  </w:pPr>
                  <w:r>
                    <w:rPr>
                      <w:color w:val="auto"/>
                      <w:szCs w:val="21"/>
                    </w:rPr>
                    <w:t>NOx</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817" w:type="dxa"/>
                  <w:gridSpan w:val="2"/>
                  <w:vMerge w:val="continue"/>
                  <w:vAlign w:val="center"/>
                </w:tcPr>
                <w:p>
                  <w:pPr>
                    <w:spacing w:line="300" w:lineRule="exact"/>
                    <w:ind w:firstLine="14"/>
                    <w:jc w:val="center"/>
                    <w:textAlignment w:val="center"/>
                    <w:rPr>
                      <w:color w:val="auto"/>
                      <w:szCs w:val="21"/>
                    </w:rPr>
                  </w:pPr>
                </w:p>
              </w:tc>
              <w:tc>
                <w:tcPr>
                  <w:tcW w:w="4124" w:type="dxa"/>
                  <w:gridSpan w:val="3"/>
                  <w:vAlign w:val="center"/>
                </w:tcPr>
                <w:p>
                  <w:pPr>
                    <w:spacing w:line="260" w:lineRule="exact"/>
                    <w:jc w:val="center"/>
                    <w:rPr>
                      <w:color w:val="auto"/>
                      <w:szCs w:val="21"/>
                    </w:rPr>
                  </w:pPr>
                  <w:r>
                    <w:rPr>
                      <w:color w:val="auto"/>
                      <w:szCs w:val="21"/>
                    </w:rPr>
                    <w:t>烟尘</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90" w:hRule="atLeast"/>
              </w:trPr>
              <w:tc>
                <w:tcPr>
                  <w:tcW w:w="3817" w:type="dxa"/>
                  <w:gridSpan w:val="2"/>
                  <w:vMerge w:val="continue"/>
                  <w:vAlign w:val="center"/>
                </w:tcPr>
                <w:p>
                  <w:pPr>
                    <w:spacing w:line="300" w:lineRule="exact"/>
                    <w:ind w:firstLine="14"/>
                    <w:jc w:val="center"/>
                    <w:textAlignment w:val="center"/>
                    <w:rPr>
                      <w:color w:val="auto"/>
                      <w:szCs w:val="21"/>
                    </w:rPr>
                  </w:pPr>
                </w:p>
              </w:tc>
              <w:tc>
                <w:tcPr>
                  <w:tcW w:w="4124" w:type="dxa"/>
                  <w:gridSpan w:val="3"/>
                  <w:vAlign w:val="center"/>
                </w:tcPr>
                <w:p>
                  <w:pPr>
                    <w:spacing w:line="260" w:lineRule="exact"/>
                    <w:jc w:val="center"/>
                    <w:rPr>
                      <w:color w:val="auto"/>
                      <w:szCs w:val="21"/>
                    </w:rPr>
                  </w:pPr>
                  <w:r>
                    <w:rPr>
                      <w:color w:val="auto"/>
                      <w:szCs w:val="21"/>
                    </w:rPr>
                    <w:t>SO</w:t>
                  </w:r>
                  <w:r>
                    <w:rPr>
                      <w:color w:val="auto"/>
                      <w:szCs w:val="21"/>
                      <w:vertAlign w:val="subscript"/>
                    </w:rPr>
                    <w:t>2</w:t>
                  </w:r>
                </w:p>
              </w:tc>
              <w:tc>
                <w:tcPr>
                  <w:tcW w:w="1373" w:type="dxa"/>
                  <w:vAlign w:val="center"/>
                </w:tcPr>
                <w:p>
                  <w:pPr>
                    <w:spacing w:line="260" w:lineRule="exact"/>
                    <w:jc w:val="center"/>
                    <w:rPr>
                      <w:color w:val="auto"/>
                      <w:szCs w:val="21"/>
                    </w:rPr>
                  </w:pPr>
                  <w:r>
                    <w:rPr>
                      <w:rFonts w:hint="eastAsia"/>
                      <w:color w:val="auto"/>
                      <w:szCs w:val="21"/>
                    </w:rPr>
                    <w:t>0.00</w:t>
                  </w:r>
                  <w:r>
                    <w:rPr>
                      <w:color w:val="auto"/>
                      <w:szCs w:val="21"/>
                    </w:rPr>
                    <w:t>37</w:t>
                  </w:r>
                </w:p>
              </w:tc>
            </w:tr>
          </w:tbl>
          <w:p>
            <w:pPr>
              <w:pStyle w:val="2"/>
              <w:jc w:val="center"/>
              <w:rPr>
                <w:color w:val="auto"/>
              </w:rPr>
            </w:pPr>
          </w:p>
          <w:p>
            <w:pPr>
              <w:widowControl/>
              <w:spacing w:line="360" w:lineRule="auto"/>
              <w:ind w:firstLine="422" w:firstLineChars="200"/>
              <w:jc w:val="center"/>
              <w:rPr>
                <w:b/>
                <w:bCs/>
                <w:color w:val="auto"/>
                <w:szCs w:val="28"/>
              </w:rPr>
            </w:pPr>
            <w:r>
              <w:rPr>
                <w:b/>
                <w:bCs/>
                <w:color w:val="auto"/>
                <w:szCs w:val="28"/>
              </w:rPr>
              <w:t>表</w:t>
            </w:r>
            <w:r>
              <w:rPr>
                <w:rFonts w:hint="eastAsia"/>
                <w:b/>
                <w:bCs/>
                <w:color w:val="auto"/>
                <w:szCs w:val="28"/>
              </w:rPr>
              <w:t>7-</w:t>
            </w:r>
            <w:r>
              <w:rPr>
                <w:b/>
                <w:bCs/>
                <w:color w:val="auto"/>
                <w:szCs w:val="28"/>
              </w:rPr>
              <w:t>8大气污染物无组织排放量核算表</w:t>
            </w:r>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2"/>
              <w:gridCol w:w="432"/>
              <w:gridCol w:w="380"/>
              <w:gridCol w:w="1280"/>
              <w:gridCol w:w="4322"/>
              <w:gridCol w:w="1192"/>
              <w:gridCol w:w="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832" w:type="dxa"/>
                  <w:vMerge w:val="restart"/>
                  <w:vAlign w:val="center"/>
                </w:tcPr>
                <w:p>
                  <w:pPr>
                    <w:widowControl/>
                    <w:spacing w:line="240" w:lineRule="exact"/>
                    <w:ind w:firstLine="63"/>
                    <w:contextualSpacing/>
                    <w:jc w:val="center"/>
                    <w:rPr>
                      <w:color w:val="auto"/>
                      <w:kern w:val="0"/>
                      <w:szCs w:val="21"/>
                    </w:rPr>
                  </w:pPr>
                  <w:r>
                    <w:rPr>
                      <w:color w:val="auto"/>
                      <w:kern w:val="0"/>
                      <w:szCs w:val="21"/>
                    </w:rPr>
                    <w:t>产污环节</w:t>
                  </w:r>
                </w:p>
              </w:tc>
              <w:tc>
                <w:tcPr>
                  <w:tcW w:w="812" w:type="dxa"/>
                  <w:gridSpan w:val="2"/>
                  <w:vMerge w:val="restart"/>
                  <w:vAlign w:val="center"/>
                </w:tcPr>
                <w:p>
                  <w:pPr>
                    <w:widowControl/>
                    <w:spacing w:line="240" w:lineRule="exact"/>
                    <w:ind w:firstLine="63"/>
                    <w:contextualSpacing/>
                    <w:jc w:val="center"/>
                    <w:rPr>
                      <w:color w:val="auto"/>
                      <w:kern w:val="0"/>
                      <w:szCs w:val="21"/>
                    </w:rPr>
                  </w:pPr>
                  <w:r>
                    <w:rPr>
                      <w:color w:val="auto"/>
                      <w:kern w:val="0"/>
                      <w:szCs w:val="21"/>
                    </w:rPr>
                    <w:t>污染物</w:t>
                  </w:r>
                </w:p>
              </w:tc>
              <w:tc>
                <w:tcPr>
                  <w:tcW w:w="1280" w:type="dxa"/>
                  <w:vMerge w:val="restart"/>
                  <w:vAlign w:val="center"/>
                </w:tcPr>
                <w:p>
                  <w:pPr>
                    <w:widowControl/>
                    <w:spacing w:line="240" w:lineRule="exact"/>
                    <w:ind w:firstLine="63"/>
                    <w:contextualSpacing/>
                    <w:jc w:val="center"/>
                    <w:rPr>
                      <w:color w:val="auto"/>
                      <w:kern w:val="0"/>
                      <w:szCs w:val="21"/>
                    </w:rPr>
                  </w:pPr>
                  <w:r>
                    <w:rPr>
                      <w:color w:val="auto"/>
                      <w:kern w:val="0"/>
                      <w:szCs w:val="21"/>
                    </w:rPr>
                    <w:t>主要污染防治设施</w:t>
                  </w:r>
                </w:p>
              </w:tc>
              <w:tc>
                <w:tcPr>
                  <w:tcW w:w="5514" w:type="dxa"/>
                  <w:gridSpan w:val="2"/>
                  <w:vAlign w:val="center"/>
                </w:tcPr>
                <w:p>
                  <w:pPr>
                    <w:widowControl/>
                    <w:spacing w:line="240" w:lineRule="exact"/>
                    <w:ind w:firstLine="63"/>
                    <w:contextualSpacing/>
                    <w:jc w:val="center"/>
                    <w:rPr>
                      <w:color w:val="auto"/>
                      <w:kern w:val="0"/>
                      <w:szCs w:val="21"/>
                    </w:rPr>
                  </w:pPr>
                  <w:r>
                    <w:rPr>
                      <w:color w:val="auto"/>
                      <w:kern w:val="0"/>
                      <w:szCs w:val="21"/>
                    </w:rPr>
                    <w:t>污染物排放标准</w:t>
                  </w:r>
                </w:p>
              </w:tc>
              <w:tc>
                <w:tcPr>
                  <w:tcW w:w="876" w:type="dxa"/>
                  <w:vAlign w:val="center"/>
                </w:tcPr>
                <w:p>
                  <w:pPr>
                    <w:widowControl/>
                    <w:spacing w:line="240" w:lineRule="exact"/>
                    <w:ind w:firstLine="63"/>
                    <w:contextualSpacing/>
                    <w:jc w:val="center"/>
                    <w:rPr>
                      <w:color w:val="auto"/>
                      <w:kern w:val="0"/>
                      <w:szCs w:val="21"/>
                    </w:rPr>
                  </w:pPr>
                  <w:r>
                    <w:rPr>
                      <w:color w:val="auto"/>
                      <w:kern w:val="0"/>
                      <w:szCs w:val="21"/>
                    </w:rPr>
                    <w:t>年排放量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832" w:type="dxa"/>
                  <w:vMerge w:val="continue"/>
                  <w:vAlign w:val="center"/>
                </w:tcPr>
                <w:p>
                  <w:pPr>
                    <w:widowControl/>
                    <w:spacing w:line="240" w:lineRule="exact"/>
                    <w:ind w:firstLine="63"/>
                    <w:contextualSpacing/>
                    <w:jc w:val="center"/>
                    <w:rPr>
                      <w:color w:val="auto"/>
                      <w:kern w:val="0"/>
                      <w:szCs w:val="21"/>
                    </w:rPr>
                  </w:pPr>
                </w:p>
              </w:tc>
              <w:tc>
                <w:tcPr>
                  <w:tcW w:w="812" w:type="dxa"/>
                  <w:gridSpan w:val="2"/>
                  <w:vMerge w:val="continue"/>
                  <w:vAlign w:val="center"/>
                </w:tcPr>
                <w:p>
                  <w:pPr>
                    <w:widowControl/>
                    <w:spacing w:line="240" w:lineRule="exact"/>
                    <w:ind w:firstLine="63"/>
                    <w:contextualSpacing/>
                    <w:jc w:val="center"/>
                    <w:rPr>
                      <w:color w:val="auto"/>
                      <w:kern w:val="0"/>
                      <w:szCs w:val="21"/>
                    </w:rPr>
                  </w:pPr>
                </w:p>
              </w:tc>
              <w:tc>
                <w:tcPr>
                  <w:tcW w:w="1280" w:type="dxa"/>
                  <w:vMerge w:val="continue"/>
                  <w:vAlign w:val="center"/>
                </w:tcPr>
                <w:p>
                  <w:pPr>
                    <w:widowControl/>
                    <w:spacing w:line="240" w:lineRule="exact"/>
                    <w:ind w:firstLine="63"/>
                    <w:contextualSpacing/>
                    <w:jc w:val="center"/>
                    <w:rPr>
                      <w:color w:val="auto"/>
                      <w:kern w:val="0"/>
                      <w:szCs w:val="21"/>
                    </w:rPr>
                  </w:pPr>
                </w:p>
              </w:tc>
              <w:tc>
                <w:tcPr>
                  <w:tcW w:w="4322" w:type="dxa"/>
                  <w:vAlign w:val="center"/>
                </w:tcPr>
                <w:p>
                  <w:pPr>
                    <w:widowControl/>
                    <w:spacing w:line="240" w:lineRule="exact"/>
                    <w:ind w:firstLine="63"/>
                    <w:contextualSpacing/>
                    <w:jc w:val="center"/>
                    <w:rPr>
                      <w:color w:val="auto"/>
                      <w:kern w:val="0"/>
                      <w:szCs w:val="21"/>
                    </w:rPr>
                  </w:pPr>
                  <w:r>
                    <w:rPr>
                      <w:color w:val="auto"/>
                      <w:kern w:val="0"/>
                      <w:szCs w:val="21"/>
                    </w:rPr>
                    <w:t>标准名称</w:t>
                  </w:r>
                </w:p>
              </w:tc>
              <w:tc>
                <w:tcPr>
                  <w:tcW w:w="1192" w:type="dxa"/>
                  <w:vAlign w:val="center"/>
                </w:tcPr>
                <w:p>
                  <w:pPr>
                    <w:widowControl/>
                    <w:spacing w:line="240" w:lineRule="exact"/>
                    <w:ind w:firstLine="63"/>
                    <w:contextualSpacing/>
                    <w:jc w:val="center"/>
                    <w:rPr>
                      <w:color w:val="auto"/>
                      <w:kern w:val="0"/>
                      <w:szCs w:val="21"/>
                    </w:rPr>
                  </w:pPr>
                  <w:r>
                    <w:rPr>
                      <w:bCs/>
                      <w:color w:val="auto"/>
                      <w:kern w:val="0"/>
                      <w:szCs w:val="21"/>
                    </w:rPr>
                    <w:t>浓度限值 mg/m</w:t>
                  </w:r>
                  <w:r>
                    <w:rPr>
                      <w:bCs/>
                      <w:color w:val="auto"/>
                      <w:kern w:val="0"/>
                      <w:szCs w:val="21"/>
                      <w:vertAlign w:val="superscript"/>
                    </w:rPr>
                    <w:t>3</w:t>
                  </w:r>
                </w:p>
              </w:tc>
              <w:tc>
                <w:tcPr>
                  <w:tcW w:w="876" w:type="dxa"/>
                  <w:vAlign w:val="center"/>
                </w:tcPr>
                <w:p>
                  <w:pPr>
                    <w:widowControl/>
                    <w:spacing w:line="240" w:lineRule="exact"/>
                    <w:ind w:firstLine="63"/>
                    <w:contextualSpacing/>
                    <w:jc w:val="center"/>
                    <w:rPr>
                      <w:color w:val="auto"/>
                      <w:kern w:val="0"/>
                      <w:szCs w:val="21"/>
                    </w:rPr>
                  </w:pPr>
                  <w:r>
                    <w:rPr>
                      <w:color w:val="auto"/>
                      <w:kern w:val="0"/>
                      <w:szCs w:val="21"/>
                    </w:rPr>
                    <w:t>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2" w:type="dxa"/>
                  <w:vAlign w:val="center"/>
                </w:tcPr>
                <w:p>
                  <w:pPr>
                    <w:widowControl/>
                    <w:ind w:hanging="39"/>
                    <w:jc w:val="center"/>
                    <w:rPr>
                      <w:color w:val="auto"/>
                      <w:szCs w:val="21"/>
                    </w:rPr>
                  </w:pPr>
                  <w:r>
                    <w:rPr>
                      <w:bCs/>
                      <w:color w:val="auto"/>
                      <w:szCs w:val="21"/>
                    </w:rPr>
                    <w:t>厂区</w:t>
                  </w:r>
                </w:p>
              </w:tc>
              <w:tc>
                <w:tcPr>
                  <w:tcW w:w="812" w:type="dxa"/>
                  <w:gridSpan w:val="2"/>
                  <w:vAlign w:val="center"/>
                </w:tcPr>
                <w:p>
                  <w:pPr>
                    <w:widowControl/>
                    <w:ind w:hanging="39"/>
                    <w:jc w:val="center"/>
                    <w:rPr>
                      <w:bCs/>
                      <w:color w:val="auto"/>
                      <w:szCs w:val="21"/>
                    </w:rPr>
                  </w:pPr>
                  <w:r>
                    <w:rPr>
                      <w:bCs/>
                      <w:color w:val="auto"/>
                      <w:szCs w:val="21"/>
                    </w:rPr>
                    <w:t>PM</w:t>
                  </w:r>
                  <w:r>
                    <w:rPr>
                      <w:bCs/>
                      <w:color w:val="auto"/>
                      <w:szCs w:val="21"/>
                      <w:vertAlign w:val="subscript"/>
                    </w:rPr>
                    <w:t>10</w:t>
                  </w:r>
                </w:p>
              </w:tc>
              <w:tc>
                <w:tcPr>
                  <w:tcW w:w="1280" w:type="dxa"/>
                  <w:vAlign w:val="center"/>
                </w:tcPr>
                <w:p>
                  <w:pPr>
                    <w:autoSpaceDN w:val="0"/>
                    <w:spacing w:line="240" w:lineRule="exact"/>
                    <w:ind w:firstLine="63"/>
                    <w:jc w:val="center"/>
                    <w:textAlignment w:val="center"/>
                    <w:rPr>
                      <w:color w:val="auto"/>
                      <w:szCs w:val="21"/>
                    </w:rPr>
                  </w:pPr>
                  <w:r>
                    <w:rPr>
                      <w:color w:val="auto"/>
                      <w:szCs w:val="21"/>
                    </w:rPr>
                    <w:t>尽量慢行，定时撒水</w:t>
                  </w:r>
                </w:p>
              </w:tc>
              <w:tc>
                <w:tcPr>
                  <w:tcW w:w="4322" w:type="dxa"/>
                  <w:vMerge w:val="restart"/>
                  <w:vAlign w:val="center"/>
                </w:tcPr>
                <w:p>
                  <w:pPr>
                    <w:widowControl/>
                    <w:spacing w:line="240" w:lineRule="exact"/>
                    <w:ind w:firstLine="63"/>
                    <w:jc w:val="center"/>
                    <w:textAlignment w:val="center"/>
                    <w:rPr>
                      <w:color w:val="auto"/>
                      <w:szCs w:val="21"/>
                    </w:rPr>
                  </w:pPr>
                  <w:r>
                    <w:rPr>
                      <w:rFonts w:hint="eastAsia"/>
                      <w:color w:val="auto"/>
                      <w:szCs w:val="21"/>
                    </w:rPr>
                    <w:t>《水泥工业大气污染物排放标准》（GB4915-2013）中表3无组织排放浓度限值</w:t>
                  </w:r>
                </w:p>
              </w:tc>
              <w:tc>
                <w:tcPr>
                  <w:tcW w:w="1192" w:type="dxa"/>
                  <w:vMerge w:val="restart"/>
                  <w:vAlign w:val="center"/>
                </w:tcPr>
                <w:p>
                  <w:pPr>
                    <w:spacing w:line="240" w:lineRule="exact"/>
                    <w:ind w:firstLine="63"/>
                    <w:jc w:val="center"/>
                    <w:textAlignment w:val="center"/>
                    <w:rPr>
                      <w:color w:val="auto"/>
                      <w:kern w:val="0"/>
                      <w:szCs w:val="21"/>
                    </w:rPr>
                  </w:pPr>
                </w:p>
              </w:tc>
              <w:tc>
                <w:tcPr>
                  <w:tcW w:w="876" w:type="dxa"/>
                  <w:vAlign w:val="center"/>
                </w:tcPr>
                <w:p>
                  <w:pPr>
                    <w:spacing w:line="276" w:lineRule="auto"/>
                    <w:jc w:val="center"/>
                    <w:rPr>
                      <w:color w:val="auto"/>
                      <w:szCs w:val="21"/>
                    </w:rPr>
                  </w:pPr>
                  <w:r>
                    <w:rPr>
                      <w:color w:val="auto"/>
                      <w:szCs w:val="21"/>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32" w:type="dxa"/>
                  <w:vAlign w:val="center"/>
                </w:tcPr>
                <w:p>
                  <w:pPr>
                    <w:ind w:hanging="39"/>
                    <w:jc w:val="center"/>
                    <w:rPr>
                      <w:color w:val="auto"/>
                      <w:szCs w:val="21"/>
                    </w:rPr>
                  </w:pPr>
                  <w:r>
                    <w:rPr>
                      <w:color w:val="auto"/>
                      <w:szCs w:val="21"/>
                    </w:rPr>
                    <w:t>原料沙堆</w:t>
                  </w:r>
                </w:p>
              </w:tc>
              <w:tc>
                <w:tcPr>
                  <w:tcW w:w="812" w:type="dxa"/>
                  <w:gridSpan w:val="2"/>
                  <w:vAlign w:val="center"/>
                </w:tcPr>
                <w:p>
                  <w:pPr>
                    <w:widowControl/>
                    <w:ind w:hanging="39"/>
                    <w:jc w:val="center"/>
                    <w:rPr>
                      <w:bCs/>
                      <w:color w:val="auto"/>
                      <w:szCs w:val="21"/>
                    </w:rPr>
                  </w:pPr>
                  <w:r>
                    <w:rPr>
                      <w:bCs/>
                      <w:color w:val="auto"/>
                      <w:szCs w:val="21"/>
                    </w:rPr>
                    <w:t>PM</w:t>
                  </w:r>
                  <w:r>
                    <w:rPr>
                      <w:bCs/>
                      <w:color w:val="auto"/>
                      <w:szCs w:val="21"/>
                      <w:vertAlign w:val="subscript"/>
                    </w:rPr>
                    <w:t>10</w:t>
                  </w:r>
                </w:p>
              </w:tc>
              <w:tc>
                <w:tcPr>
                  <w:tcW w:w="1280" w:type="dxa"/>
                  <w:vAlign w:val="center"/>
                </w:tcPr>
                <w:p>
                  <w:pPr>
                    <w:autoSpaceDN w:val="0"/>
                    <w:spacing w:line="240" w:lineRule="exact"/>
                    <w:ind w:firstLine="63"/>
                    <w:jc w:val="center"/>
                    <w:textAlignment w:val="center"/>
                    <w:rPr>
                      <w:color w:val="auto"/>
                      <w:szCs w:val="21"/>
                    </w:rPr>
                  </w:pPr>
                  <w:r>
                    <w:rPr>
                      <w:color w:val="auto"/>
                      <w:szCs w:val="21"/>
                    </w:rPr>
                    <w:t>围护+除尘雾泡机</w:t>
                  </w:r>
                </w:p>
              </w:tc>
              <w:tc>
                <w:tcPr>
                  <w:tcW w:w="4322" w:type="dxa"/>
                  <w:vMerge w:val="continue"/>
                  <w:vAlign w:val="center"/>
                </w:tcPr>
                <w:p>
                  <w:pPr>
                    <w:widowControl/>
                    <w:spacing w:line="240" w:lineRule="exact"/>
                    <w:ind w:firstLine="63"/>
                    <w:jc w:val="center"/>
                    <w:textAlignment w:val="center"/>
                    <w:rPr>
                      <w:color w:val="auto"/>
                      <w:szCs w:val="21"/>
                    </w:rPr>
                  </w:pPr>
                </w:p>
              </w:tc>
              <w:tc>
                <w:tcPr>
                  <w:tcW w:w="1192" w:type="dxa"/>
                  <w:vMerge w:val="continue"/>
                  <w:vAlign w:val="center"/>
                </w:tcPr>
                <w:p>
                  <w:pPr>
                    <w:spacing w:line="240" w:lineRule="exact"/>
                    <w:ind w:firstLine="63"/>
                    <w:jc w:val="center"/>
                    <w:textAlignment w:val="center"/>
                    <w:rPr>
                      <w:color w:val="auto"/>
                      <w:kern w:val="0"/>
                      <w:szCs w:val="21"/>
                    </w:rPr>
                  </w:pPr>
                </w:p>
              </w:tc>
              <w:tc>
                <w:tcPr>
                  <w:tcW w:w="876" w:type="dxa"/>
                  <w:vAlign w:val="center"/>
                </w:tcPr>
                <w:p>
                  <w:pPr>
                    <w:spacing w:line="276" w:lineRule="auto"/>
                    <w:jc w:val="center"/>
                    <w:rPr>
                      <w:color w:val="auto"/>
                      <w:szCs w:val="21"/>
                    </w:rPr>
                  </w:pPr>
                  <w:r>
                    <w:rPr>
                      <w:color w:val="auto"/>
                      <w:szCs w:val="21"/>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jc w:val="center"/>
              </w:trPr>
              <w:tc>
                <w:tcPr>
                  <w:tcW w:w="832" w:type="dxa"/>
                  <w:vAlign w:val="center"/>
                </w:tcPr>
                <w:p>
                  <w:pPr>
                    <w:widowControl/>
                    <w:ind w:hanging="39"/>
                    <w:jc w:val="center"/>
                    <w:rPr>
                      <w:bCs/>
                      <w:color w:val="auto"/>
                      <w:szCs w:val="21"/>
                    </w:rPr>
                  </w:pPr>
                  <w:r>
                    <w:rPr>
                      <w:bCs/>
                      <w:color w:val="auto"/>
                      <w:szCs w:val="21"/>
                    </w:rPr>
                    <w:t>搅拌机</w:t>
                  </w:r>
                </w:p>
              </w:tc>
              <w:tc>
                <w:tcPr>
                  <w:tcW w:w="812" w:type="dxa"/>
                  <w:gridSpan w:val="2"/>
                  <w:vAlign w:val="center"/>
                </w:tcPr>
                <w:p>
                  <w:pPr>
                    <w:widowControl/>
                    <w:ind w:hanging="39"/>
                    <w:jc w:val="center"/>
                    <w:rPr>
                      <w:bCs/>
                      <w:color w:val="auto"/>
                      <w:szCs w:val="21"/>
                    </w:rPr>
                  </w:pPr>
                  <w:r>
                    <w:rPr>
                      <w:bCs/>
                      <w:color w:val="auto"/>
                      <w:szCs w:val="21"/>
                    </w:rPr>
                    <w:t>PM</w:t>
                  </w:r>
                  <w:r>
                    <w:rPr>
                      <w:bCs/>
                      <w:color w:val="auto"/>
                      <w:szCs w:val="21"/>
                      <w:vertAlign w:val="subscript"/>
                    </w:rPr>
                    <w:t>10</w:t>
                  </w:r>
                </w:p>
              </w:tc>
              <w:tc>
                <w:tcPr>
                  <w:tcW w:w="1280" w:type="dxa"/>
                  <w:vAlign w:val="center"/>
                </w:tcPr>
                <w:p>
                  <w:pPr>
                    <w:autoSpaceDN w:val="0"/>
                    <w:spacing w:line="240" w:lineRule="exact"/>
                    <w:ind w:firstLine="63"/>
                    <w:jc w:val="center"/>
                    <w:textAlignment w:val="center"/>
                    <w:rPr>
                      <w:color w:val="auto"/>
                      <w:szCs w:val="21"/>
                    </w:rPr>
                  </w:pPr>
                  <w:r>
                    <w:rPr>
                      <w:color w:val="auto"/>
                      <w:szCs w:val="21"/>
                    </w:rPr>
                    <w:t>脉冲布袋除尘器</w:t>
                  </w:r>
                </w:p>
              </w:tc>
              <w:tc>
                <w:tcPr>
                  <w:tcW w:w="4322" w:type="dxa"/>
                  <w:vMerge w:val="continue"/>
                  <w:vAlign w:val="center"/>
                </w:tcPr>
                <w:p>
                  <w:pPr>
                    <w:widowControl/>
                    <w:spacing w:line="240" w:lineRule="exact"/>
                    <w:ind w:firstLine="63"/>
                    <w:jc w:val="center"/>
                    <w:textAlignment w:val="center"/>
                    <w:rPr>
                      <w:color w:val="auto"/>
                      <w:szCs w:val="21"/>
                    </w:rPr>
                  </w:pPr>
                </w:p>
              </w:tc>
              <w:tc>
                <w:tcPr>
                  <w:tcW w:w="1192" w:type="dxa"/>
                  <w:vMerge w:val="continue"/>
                  <w:vAlign w:val="center"/>
                </w:tcPr>
                <w:p>
                  <w:pPr>
                    <w:widowControl/>
                    <w:spacing w:line="240" w:lineRule="exact"/>
                    <w:ind w:firstLine="63"/>
                    <w:jc w:val="center"/>
                    <w:textAlignment w:val="center"/>
                    <w:rPr>
                      <w:color w:val="auto"/>
                      <w:kern w:val="0"/>
                      <w:szCs w:val="21"/>
                    </w:rPr>
                  </w:pPr>
                </w:p>
              </w:tc>
              <w:tc>
                <w:tcPr>
                  <w:tcW w:w="876" w:type="dxa"/>
                  <w:vAlign w:val="center"/>
                </w:tcPr>
                <w:p>
                  <w:pPr>
                    <w:spacing w:line="276" w:lineRule="auto"/>
                    <w:jc w:val="center"/>
                    <w:rPr>
                      <w:color w:val="auto"/>
                      <w:szCs w:val="21"/>
                    </w:rPr>
                  </w:pPr>
                  <w:r>
                    <w:rPr>
                      <w:color w:val="auto"/>
                      <w:szCs w:val="21"/>
                    </w:rPr>
                    <w:t>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jc w:val="center"/>
              </w:trPr>
              <w:tc>
                <w:tcPr>
                  <w:tcW w:w="832" w:type="dxa"/>
                  <w:vAlign w:val="center"/>
                </w:tcPr>
                <w:p>
                  <w:pPr>
                    <w:widowControl/>
                    <w:ind w:hanging="39"/>
                    <w:jc w:val="center"/>
                    <w:rPr>
                      <w:bCs/>
                      <w:color w:val="auto"/>
                      <w:szCs w:val="21"/>
                    </w:rPr>
                  </w:pPr>
                  <w:r>
                    <w:rPr>
                      <w:rFonts w:hint="eastAsia"/>
                      <w:bCs/>
                      <w:color w:val="auto"/>
                      <w:szCs w:val="21"/>
                    </w:rPr>
                    <w:t>沙石投料斗</w:t>
                  </w:r>
                </w:p>
              </w:tc>
              <w:tc>
                <w:tcPr>
                  <w:tcW w:w="812" w:type="dxa"/>
                  <w:gridSpan w:val="2"/>
                  <w:vAlign w:val="center"/>
                </w:tcPr>
                <w:p>
                  <w:pPr>
                    <w:widowControl/>
                    <w:ind w:hanging="39"/>
                    <w:jc w:val="center"/>
                    <w:rPr>
                      <w:bCs/>
                      <w:color w:val="auto"/>
                      <w:szCs w:val="21"/>
                    </w:rPr>
                  </w:pPr>
                  <w:r>
                    <w:rPr>
                      <w:bCs/>
                      <w:color w:val="auto"/>
                      <w:szCs w:val="21"/>
                    </w:rPr>
                    <w:t>PM</w:t>
                  </w:r>
                  <w:r>
                    <w:rPr>
                      <w:bCs/>
                      <w:color w:val="auto"/>
                      <w:szCs w:val="21"/>
                      <w:vertAlign w:val="subscript"/>
                    </w:rPr>
                    <w:t>10</w:t>
                  </w:r>
                </w:p>
              </w:tc>
              <w:tc>
                <w:tcPr>
                  <w:tcW w:w="1280" w:type="dxa"/>
                  <w:vAlign w:val="center"/>
                </w:tcPr>
                <w:p>
                  <w:pPr>
                    <w:autoSpaceDN w:val="0"/>
                    <w:spacing w:line="240" w:lineRule="exact"/>
                    <w:ind w:firstLine="63"/>
                    <w:jc w:val="center"/>
                    <w:textAlignment w:val="center"/>
                    <w:rPr>
                      <w:color w:val="auto"/>
                      <w:szCs w:val="21"/>
                    </w:rPr>
                  </w:pPr>
                  <w:r>
                    <w:rPr>
                      <w:color w:val="auto"/>
                      <w:szCs w:val="21"/>
                    </w:rPr>
                    <w:t>水雾喷淋装置</w:t>
                  </w:r>
                </w:p>
              </w:tc>
              <w:tc>
                <w:tcPr>
                  <w:tcW w:w="4322" w:type="dxa"/>
                  <w:vMerge w:val="continue"/>
                  <w:vAlign w:val="center"/>
                </w:tcPr>
                <w:p>
                  <w:pPr>
                    <w:widowControl/>
                    <w:spacing w:line="240" w:lineRule="exact"/>
                    <w:ind w:firstLine="63"/>
                    <w:jc w:val="center"/>
                    <w:textAlignment w:val="center"/>
                    <w:rPr>
                      <w:color w:val="auto"/>
                      <w:szCs w:val="21"/>
                    </w:rPr>
                  </w:pPr>
                </w:p>
              </w:tc>
              <w:tc>
                <w:tcPr>
                  <w:tcW w:w="1192" w:type="dxa"/>
                  <w:vMerge w:val="continue"/>
                  <w:vAlign w:val="center"/>
                </w:tcPr>
                <w:p>
                  <w:pPr>
                    <w:widowControl/>
                    <w:spacing w:line="240" w:lineRule="exact"/>
                    <w:ind w:firstLine="63"/>
                    <w:jc w:val="center"/>
                    <w:textAlignment w:val="center"/>
                    <w:rPr>
                      <w:color w:val="auto"/>
                      <w:kern w:val="0"/>
                      <w:szCs w:val="21"/>
                    </w:rPr>
                  </w:pPr>
                </w:p>
              </w:tc>
              <w:tc>
                <w:tcPr>
                  <w:tcW w:w="876" w:type="dxa"/>
                  <w:vAlign w:val="center"/>
                </w:tcPr>
                <w:p>
                  <w:pPr>
                    <w:spacing w:line="276" w:lineRule="auto"/>
                    <w:jc w:val="center"/>
                    <w:rPr>
                      <w:color w:val="auto"/>
                      <w:szCs w:val="21"/>
                    </w:rPr>
                  </w:pPr>
                  <w:r>
                    <w:rPr>
                      <w:color w:val="auto"/>
                      <w:szCs w:val="21"/>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314" w:type="dxa"/>
                  <w:gridSpan w:val="7"/>
                  <w:vAlign w:val="center"/>
                </w:tcPr>
                <w:p>
                  <w:pPr>
                    <w:spacing w:line="240" w:lineRule="exact"/>
                    <w:ind w:firstLine="63"/>
                    <w:jc w:val="center"/>
                    <w:textAlignment w:val="center"/>
                    <w:rPr>
                      <w:color w:val="auto"/>
                      <w:kern w:val="0"/>
                      <w:szCs w:val="21"/>
                    </w:rPr>
                  </w:pPr>
                  <w:r>
                    <w:rPr>
                      <w:color w:val="auto"/>
                      <w:kern w:val="0"/>
                      <w:szCs w:val="21"/>
                    </w:rPr>
                    <w:t>无组织排放总量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64" w:type="dxa"/>
                  <w:gridSpan w:val="2"/>
                  <w:vAlign w:val="center"/>
                </w:tcPr>
                <w:p>
                  <w:pPr>
                    <w:spacing w:line="240" w:lineRule="exact"/>
                    <w:ind w:firstLine="63"/>
                    <w:jc w:val="center"/>
                    <w:rPr>
                      <w:color w:val="auto"/>
                      <w:szCs w:val="21"/>
                    </w:rPr>
                  </w:pPr>
                  <w:r>
                    <w:rPr>
                      <w:color w:val="auto"/>
                      <w:szCs w:val="21"/>
                    </w:rPr>
                    <w:t>无组织排放量总计</w:t>
                  </w:r>
                </w:p>
              </w:tc>
              <w:tc>
                <w:tcPr>
                  <w:tcW w:w="7174" w:type="dxa"/>
                  <w:gridSpan w:val="4"/>
                  <w:vAlign w:val="center"/>
                </w:tcPr>
                <w:p>
                  <w:pPr>
                    <w:widowControl/>
                    <w:spacing w:line="240" w:lineRule="exact"/>
                    <w:ind w:firstLine="63"/>
                    <w:jc w:val="center"/>
                    <w:textAlignment w:val="center"/>
                    <w:rPr>
                      <w:color w:val="auto"/>
                      <w:szCs w:val="21"/>
                    </w:rPr>
                  </w:pPr>
                  <w:r>
                    <w:rPr>
                      <w:bCs/>
                      <w:color w:val="auto"/>
                      <w:szCs w:val="21"/>
                    </w:rPr>
                    <w:t>PM</w:t>
                  </w:r>
                  <w:r>
                    <w:rPr>
                      <w:bCs/>
                      <w:color w:val="auto"/>
                      <w:szCs w:val="21"/>
                      <w:vertAlign w:val="subscript"/>
                    </w:rPr>
                    <w:t>10</w:t>
                  </w:r>
                </w:p>
              </w:tc>
              <w:tc>
                <w:tcPr>
                  <w:tcW w:w="876" w:type="dxa"/>
                  <w:vAlign w:val="center"/>
                </w:tcPr>
                <w:p>
                  <w:pPr>
                    <w:widowControl/>
                    <w:spacing w:line="240" w:lineRule="exact"/>
                    <w:ind w:firstLine="63"/>
                    <w:jc w:val="center"/>
                    <w:textAlignment w:val="center"/>
                    <w:rPr>
                      <w:color w:val="auto"/>
                      <w:kern w:val="0"/>
                      <w:szCs w:val="21"/>
                    </w:rPr>
                  </w:pPr>
                  <w:r>
                    <w:rPr>
                      <w:color w:val="auto"/>
                      <w:szCs w:val="21"/>
                    </w:rPr>
                    <w:t>0.34</w:t>
                  </w:r>
                </w:p>
              </w:tc>
            </w:tr>
          </w:tbl>
          <w:p>
            <w:pPr>
              <w:widowControl/>
              <w:spacing w:before="156" w:beforeLines="50" w:line="360" w:lineRule="auto"/>
              <w:jc w:val="center"/>
              <w:rPr>
                <w:b/>
                <w:bCs/>
                <w:color w:val="auto"/>
                <w:szCs w:val="28"/>
              </w:rPr>
            </w:pPr>
            <w:r>
              <w:rPr>
                <w:b/>
                <w:bCs/>
                <w:color w:val="auto"/>
                <w:szCs w:val="28"/>
              </w:rPr>
              <w:t>表</w:t>
            </w:r>
            <w:r>
              <w:rPr>
                <w:rFonts w:hint="eastAsia"/>
                <w:b/>
                <w:bCs/>
                <w:color w:val="auto"/>
                <w:szCs w:val="28"/>
              </w:rPr>
              <w:t>7</w:t>
            </w:r>
            <w:r>
              <w:rPr>
                <w:b/>
                <w:bCs/>
                <w:color w:val="auto"/>
                <w:szCs w:val="28"/>
              </w:rPr>
              <w:noBreakHyphen/>
            </w:r>
            <w:r>
              <w:rPr>
                <w:b/>
                <w:bCs/>
                <w:color w:val="auto"/>
                <w:szCs w:val="28"/>
              </w:rPr>
              <w:t>9建设项目大气环境影响评价自查表</w:t>
            </w:r>
          </w:p>
          <w:tbl>
            <w:tblPr>
              <w:tblStyle w:val="30"/>
              <w:tblW w:w="899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1160"/>
              <w:gridCol w:w="1133"/>
              <w:gridCol w:w="542"/>
              <w:gridCol w:w="318"/>
              <w:gridCol w:w="103"/>
              <w:gridCol w:w="322"/>
              <w:gridCol w:w="641"/>
              <w:gridCol w:w="94"/>
              <w:gridCol w:w="301"/>
              <w:gridCol w:w="300"/>
              <w:gridCol w:w="268"/>
              <w:gridCol w:w="648"/>
              <w:gridCol w:w="315"/>
              <w:gridCol w:w="518"/>
              <w:gridCol w:w="122"/>
              <w:gridCol w:w="323"/>
              <w:gridCol w:w="97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2068" w:type="dxa"/>
                  <w:gridSpan w:val="2"/>
                  <w:vAlign w:val="center"/>
                </w:tcPr>
                <w:p>
                  <w:pPr>
                    <w:pStyle w:val="224"/>
                    <w:rPr>
                      <w:color w:val="auto"/>
                      <w:sz w:val="18"/>
                      <w:szCs w:val="18"/>
                    </w:rPr>
                  </w:pPr>
                  <w:r>
                    <w:rPr>
                      <w:color w:val="auto"/>
                      <w:sz w:val="18"/>
                      <w:szCs w:val="18"/>
                    </w:rPr>
                    <w:t>工作内容</w:t>
                  </w:r>
                </w:p>
              </w:tc>
              <w:tc>
                <w:tcPr>
                  <w:tcW w:w="6922" w:type="dxa"/>
                  <w:gridSpan w:val="16"/>
                  <w:vAlign w:val="center"/>
                </w:tcPr>
                <w:p>
                  <w:pPr>
                    <w:pStyle w:val="224"/>
                    <w:rPr>
                      <w:color w:val="auto"/>
                      <w:sz w:val="18"/>
                      <w:szCs w:val="18"/>
                    </w:rPr>
                  </w:pPr>
                  <w:r>
                    <w:rPr>
                      <w:color w:val="auto"/>
                      <w:sz w:val="18"/>
                      <w:szCs w:val="18"/>
                    </w:rPr>
                    <w:t>自查项目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restart"/>
                  <w:vAlign w:val="center"/>
                </w:tcPr>
                <w:p>
                  <w:pPr>
                    <w:pStyle w:val="224"/>
                    <w:rPr>
                      <w:color w:val="auto"/>
                      <w:sz w:val="18"/>
                      <w:szCs w:val="18"/>
                    </w:rPr>
                  </w:pPr>
                  <w:r>
                    <w:rPr>
                      <w:color w:val="auto"/>
                      <w:sz w:val="18"/>
                      <w:szCs w:val="18"/>
                    </w:rPr>
                    <w:t>评价等级与范围</w:t>
                  </w:r>
                </w:p>
              </w:tc>
              <w:tc>
                <w:tcPr>
                  <w:tcW w:w="1160" w:type="dxa"/>
                  <w:vAlign w:val="center"/>
                </w:tcPr>
                <w:p>
                  <w:pPr>
                    <w:pStyle w:val="224"/>
                    <w:rPr>
                      <w:color w:val="auto"/>
                      <w:sz w:val="18"/>
                      <w:szCs w:val="18"/>
                    </w:rPr>
                  </w:pPr>
                  <w:r>
                    <w:rPr>
                      <w:color w:val="auto"/>
                      <w:sz w:val="18"/>
                      <w:szCs w:val="18"/>
                    </w:rPr>
                    <w:t>评价等级</w:t>
                  </w:r>
                </w:p>
              </w:tc>
              <w:tc>
                <w:tcPr>
                  <w:tcW w:w="2418" w:type="dxa"/>
                  <w:gridSpan w:val="5"/>
                  <w:vAlign w:val="center"/>
                </w:tcPr>
                <w:p>
                  <w:pPr>
                    <w:pStyle w:val="224"/>
                    <w:rPr>
                      <w:color w:val="auto"/>
                      <w:sz w:val="18"/>
                      <w:szCs w:val="18"/>
                    </w:rPr>
                  </w:pPr>
                  <w:r>
                    <w:rPr>
                      <w:color w:val="auto"/>
                      <w:sz w:val="18"/>
                      <w:szCs w:val="18"/>
                    </w:rPr>
                    <w:t>一级</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color w:val="auto"/>
                      <w:sz w:val="18"/>
                      <w:szCs w:val="18"/>
                    </w:rPr>
                    <w:t>二级</w:t>
                  </w:r>
                  <w:r>
                    <w:rPr>
                      <w:rFonts w:eastAsiaTheme="minorEastAsia"/>
                      <w:color w:val="auto"/>
                      <w:spacing w:val="34"/>
                      <w:sz w:val="18"/>
                      <w:szCs w:val="18"/>
                    </w:rPr>
                    <w:sym w:font="Wingdings 2" w:char="0052"/>
                  </w:r>
                </w:p>
              </w:tc>
              <w:tc>
                <w:tcPr>
                  <w:tcW w:w="2252" w:type="dxa"/>
                  <w:gridSpan w:val="5"/>
                  <w:vAlign w:val="center"/>
                </w:tcPr>
                <w:p>
                  <w:pPr>
                    <w:pStyle w:val="224"/>
                    <w:rPr>
                      <w:color w:val="auto"/>
                      <w:sz w:val="18"/>
                      <w:szCs w:val="18"/>
                    </w:rPr>
                  </w:pPr>
                  <w:r>
                    <w:rPr>
                      <w:color w:val="auto"/>
                      <w:sz w:val="18"/>
                      <w:szCs w:val="18"/>
                    </w:rPr>
                    <w:t>三级</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评价范围</w:t>
                  </w:r>
                </w:p>
              </w:tc>
              <w:tc>
                <w:tcPr>
                  <w:tcW w:w="2418" w:type="dxa"/>
                  <w:gridSpan w:val="5"/>
                  <w:vAlign w:val="center"/>
                </w:tcPr>
                <w:p>
                  <w:pPr>
                    <w:pStyle w:val="224"/>
                    <w:rPr>
                      <w:color w:val="auto"/>
                      <w:sz w:val="18"/>
                      <w:szCs w:val="18"/>
                    </w:rPr>
                  </w:pPr>
                  <w:r>
                    <w:rPr>
                      <w:color w:val="auto"/>
                      <w:sz w:val="18"/>
                      <w:szCs w:val="18"/>
                    </w:rPr>
                    <w:t>边长=50km</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rFonts w:eastAsiaTheme="minorEastAsia"/>
                      <w:color w:val="auto"/>
                      <w:spacing w:val="34"/>
                      <w:sz w:val="18"/>
                      <w:szCs w:val="18"/>
                    </w:rPr>
                    <w:t>边长5~50km</w:t>
                  </w:r>
                  <w:r>
                    <w:rPr>
                      <w:rFonts w:eastAsiaTheme="minorEastAsia"/>
                      <w:color w:val="auto"/>
                      <w:spacing w:val="34"/>
                      <w:sz w:val="18"/>
                      <w:szCs w:val="18"/>
                    </w:rPr>
                    <w:sym w:font="Wingdings 2" w:char="00A3"/>
                  </w:r>
                </w:p>
              </w:tc>
              <w:tc>
                <w:tcPr>
                  <w:tcW w:w="2252" w:type="dxa"/>
                  <w:gridSpan w:val="5"/>
                  <w:vAlign w:val="center"/>
                </w:tcPr>
                <w:p>
                  <w:pPr>
                    <w:pStyle w:val="224"/>
                    <w:rPr>
                      <w:color w:val="auto"/>
                      <w:sz w:val="18"/>
                      <w:szCs w:val="18"/>
                    </w:rPr>
                  </w:pPr>
                  <w:r>
                    <w:rPr>
                      <w:rFonts w:eastAsiaTheme="minorEastAsia"/>
                      <w:color w:val="auto"/>
                      <w:spacing w:val="34"/>
                      <w:sz w:val="18"/>
                      <w:szCs w:val="18"/>
                    </w:rPr>
                    <w:t>边长=5km</w:t>
                  </w:r>
                  <w:r>
                    <w:rPr>
                      <w:rFonts w:eastAsiaTheme="minorEastAsia"/>
                      <w:color w:val="auto"/>
                      <w:spacing w:val="34"/>
                      <w:sz w:val="18"/>
                      <w:szCs w:val="18"/>
                    </w:rPr>
                    <w:sym w:font="Wingdings 2" w:char="0052"/>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restart"/>
                  <w:vAlign w:val="center"/>
                </w:tcPr>
                <w:p>
                  <w:pPr>
                    <w:pStyle w:val="224"/>
                    <w:rPr>
                      <w:color w:val="auto"/>
                      <w:sz w:val="18"/>
                      <w:szCs w:val="18"/>
                    </w:rPr>
                  </w:pPr>
                  <w:r>
                    <w:rPr>
                      <w:color w:val="auto"/>
                      <w:sz w:val="18"/>
                      <w:szCs w:val="18"/>
                    </w:rPr>
                    <w:t>评价因子</w:t>
                  </w:r>
                </w:p>
              </w:tc>
              <w:tc>
                <w:tcPr>
                  <w:tcW w:w="1160" w:type="dxa"/>
                  <w:vAlign w:val="center"/>
                </w:tcPr>
                <w:p>
                  <w:pPr>
                    <w:pStyle w:val="224"/>
                    <w:rPr>
                      <w:color w:val="auto"/>
                      <w:sz w:val="18"/>
                      <w:szCs w:val="18"/>
                    </w:rPr>
                  </w:pPr>
                  <w:r>
                    <w:rPr>
                      <w:color w:val="auto"/>
                      <w:sz w:val="18"/>
                      <w:szCs w:val="18"/>
                    </w:rPr>
                    <w:t>SO</w:t>
                  </w:r>
                  <w:r>
                    <w:rPr>
                      <w:color w:val="auto"/>
                      <w:sz w:val="18"/>
                      <w:szCs w:val="18"/>
                      <w:vertAlign w:val="subscript"/>
                    </w:rPr>
                    <w:t>2</w:t>
                  </w:r>
                  <w:r>
                    <w:rPr>
                      <w:color w:val="auto"/>
                      <w:sz w:val="18"/>
                      <w:szCs w:val="18"/>
                    </w:rPr>
                    <w:t>+NOx排放量</w:t>
                  </w:r>
                </w:p>
              </w:tc>
              <w:tc>
                <w:tcPr>
                  <w:tcW w:w="2418" w:type="dxa"/>
                  <w:gridSpan w:val="5"/>
                  <w:vAlign w:val="center"/>
                </w:tcPr>
                <w:p>
                  <w:pPr>
                    <w:pStyle w:val="224"/>
                    <w:rPr>
                      <w:color w:val="auto"/>
                      <w:sz w:val="18"/>
                      <w:szCs w:val="18"/>
                    </w:rPr>
                  </w:pPr>
                  <w:r>
                    <w:rPr>
                      <w:color w:val="auto"/>
                      <w:sz w:val="18"/>
                      <w:szCs w:val="18"/>
                    </w:rPr>
                    <w:t>≥2000t/a</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color w:val="auto"/>
                      <w:sz w:val="18"/>
                      <w:szCs w:val="18"/>
                    </w:rPr>
                    <w:t>500~2000t/a</w:t>
                  </w:r>
                  <w:r>
                    <w:rPr>
                      <w:rFonts w:eastAsiaTheme="minorEastAsia"/>
                      <w:color w:val="auto"/>
                      <w:spacing w:val="34"/>
                      <w:sz w:val="18"/>
                      <w:szCs w:val="18"/>
                    </w:rPr>
                    <w:sym w:font="Wingdings 2" w:char="00A3"/>
                  </w:r>
                </w:p>
              </w:tc>
              <w:tc>
                <w:tcPr>
                  <w:tcW w:w="2252" w:type="dxa"/>
                  <w:gridSpan w:val="5"/>
                  <w:vAlign w:val="center"/>
                </w:tcPr>
                <w:p>
                  <w:pPr>
                    <w:pStyle w:val="224"/>
                    <w:rPr>
                      <w:color w:val="auto"/>
                      <w:sz w:val="18"/>
                      <w:szCs w:val="18"/>
                    </w:rPr>
                  </w:pPr>
                  <w:r>
                    <w:rPr>
                      <w:color w:val="auto"/>
                      <w:sz w:val="18"/>
                      <w:szCs w:val="18"/>
                    </w:rPr>
                    <w:t>＜500t/a</w:t>
                  </w:r>
                  <w:r>
                    <w:rPr>
                      <w:rFonts w:eastAsiaTheme="minorEastAsia"/>
                      <w:color w:val="auto"/>
                      <w:spacing w:val="34"/>
                      <w:sz w:val="18"/>
                      <w:szCs w:val="18"/>
                    </w:rPr>
                    <w:sym w:font="Wingdings 2" w:char="0052"/>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评价因子</w:t>
                  </w:r>
                </w:p>
              </w:tc>
              <w:tc>
                <w:tcPr>
                  <w:tcW w:w="3754" w:type="dxa"/>
                  <w:gridSpan w:val="9"/>
                  <w:vAlign w:val="center"/>
                </w:tcPr>
                <w:p>
                  <w:pPr>
                    <w:pStyle w:val="224"/>
                    <w:rPr>
                      <w:color w:val="auto"/>
                      <w:sz w:val="18"/>
                      <w:szCs w:val="18"/>
                    </w:rPr>
                  </w:pPr>
                  <w:r>
                    <w:rPr>
                      <w:color w:val="auto"/>
                      <w:sz w:val="18"/>
                      <w:szCs w:val="18"/>
                    </w:rPr>
                    <w:t>基本污染物（</w:t>
                  </w:r>
                  <w:r>
                    <w:rPr>
                      <w:rFonts w:hint="eastAsia" w:ascii="宋体" w:hAnsi="宋体"/>
                      <w:color w:val="auto"/>
                      <w:sz w:val="18"/>
                      <w:szCs w:val="18"/>
                    </w:rPr>
                    <w:t>√</w:t>
                  </w:r>
                  <w:r>
                    <w:rPr>
                      <w:color w:val="auto"/>
                      <w:sz w:val="18"/>
                      <w:szCs w:val="18"/>
                    </w:rPr>
                    <w:t>）</w:t>
                  </w:r>
                </w:p>
                <w:p>
                  <w:pPr>
                    <w:pStyle w:val="224"/>
                    <w:rPr>
                      <w:color w:val="auto"/>
                      <w:sz w:val="18"/>
                      <w:szCs w:val="18"/>
                    </w:rPr>
                  </w:pPr>
                  <w:r>
                    <w:rPr>
                      <w:color w:val="auto"/>
                      <w:sz w:val="18"/>
                      <w:szCs w:val="18"/>
                    </w:rPr>
                    <w:t>其他污染物（</w:t>
                  </w:r>
                  <w:r>
                    <w:rPr>
                      <w:rFonts w:hint="eastAsia"/>
                      <w:color w:val="auto"/>
                      <w:sz w:val="18"/>
                      <w:szCs w:val="18"/>
                    </w:rPr>
                    <w:t>/</w:t>
                  </w:r>
                  <w:r>
                    <w:rPr>
                      <w:color w:val="auto"/>
                      <w:sz w:val="18"/>
                      <w:szCs w:val="18"/>
                    </w:rPr>
                    <w:t>）</w:t>
                  </w:r>
                </w:p>
              </w:tc>
              <w:tc>
                <w:tcPr>
                  <w:tcW w:w="3168" w:type="dxa"/>
                  <w:gridSpan w:val="7"/>
                  <w:vAlign w:val="center"/>
                </w:tcPr>
                <w:p>
                  <w:pPr>
                    <w:pStyle w:val="224"/>
                    <w:rPr>
                      <w:rFonts w:eastAsiaTheme="minorEastAsia"/>
                      <w:color w:val="auto"/>
                      <w:spacing w:val="34"/>
                      <w:sz w:val="18"/>
                      <w:szCs w:val="18"/>
                    </w:rPr>
                  </w:pPr>
                  <w:r>
                    <w:rPr>
                      <w:color w:val="auto"/>
                      <w:sz w:val="18"/>
                      <w:szCs w:val="18"/>
                    </w:rPr>
                    <w:t>包括二次PM2.5</w:t>
                  </w:r>
                  <w:r>
                    <w:rPr>
                      <w:rFonts w:eastAsiaTheme="minorEastAsia"/>
                      <w:color w:val="auto"/>
                      <w:spacing w:val="34"/>
                      <w:sz w:val="18"/>
                      <w:szCs w:val="18"/>
                    </w:rPr>
                    <w:sym w:font="Wingdings 2" w:char="00A3"/>
                  </w:r>
                </w:p>
                <w:p>
                  <w:pPr>
                    <w:pStyle w:val="224"/>
                    <w:rPr>
                      <w:rFonts w:eastAsiaTheme="minorEastAsia"/>
                      <w:color w:val="auto"/>
                      <w:spacing w:val="34"/>
                      <w:sz w:val="18"/>
                      <w:szCs w:val="18"/>
                    </w:rPr>
                  </w:pPr>
                  <w:r>
                    <w:rPr>
                      <w:rFonts w:eastAsiaTheme="minorEastAsia"/>
                      <w:color w:val="auto"/>
                      <w:spacing w:val="34"/>
                      <w:sz w:val="18"/>
                      <w:szCs w:val="18"/>
                    </w:rPr>
                    <w:t>不包括二次PM2.5</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Align w:val="center"/>
                </w:tcPr>
                <w:p>
                  <w:pPr>
                    <w:pStyle w:val="224"/>
                    <w:rPr>
                      <w:color w:val="auto"/>
                      <w:sz w:val="18"/>
                      <w:szCs w:val="18"/>
                    </w:rPr>
                  </w:pPr>
                  <w:r>
                    <w:rPr>
                      <w:color w:val="auto"/>
                      <w:sz w:val="18"/>
                      <w:szCs w:val="18"/>
                    </w:rPr>
                    <w:t>评价标准</w:t>
                  </w:r>
                </w:p>
              </w:tc>
              <w:tc>
                <w:tcPr>
                  <w:tcW w:w="1160" w:type="dxa"/>
                  <w:vAlign w:val="center"/>
                </w:tcPr>
                <w:p>
                  <w:pPr>
                    <w:pStyle w:val="224"/>
                    <w:rPr>
                      <w:color w:val="auto"/>
                      <w:sz w:val="18"/>
                      <w:szCs w:val="18"/>
                    </w:rPr>
                  </w:pPr>
                  <w:r>
                    <w:rPr>
                      <w:color w:val="auto"/>
                      <w:sz w:val="18"/>
                      <w:szCs w:val="18"/>
                    </w:rPr>
                    <w:t>评价标准</w:t>
                  </w:r>
                </w:p>
              </w:tc>
              <w:tc>
                <w:tcPr>
                  <w:tcW w:w="1993" w:type="dxa"/>
                  <w:gridSpan w:val="3"/>
                  <w:vAlign w:val="center"/>
                </w:tcPr>
                <w:p>
                  <w:pPr>
                    <w:pStyle w:val="224"/>
                    <w:rPr>
                      <w:color w:val="auto"/>
                      <w:sz w:val="18"/>
                      <w:szCs w:val="18"/>
                    </w:rPr>
                  </w:pPr>
                  <w:r>
                    <w:rPr>
                      <w:color w:val="auto"/>
                      <w:sz w:val="18"/>
                      <w:szCs w:val="18"/>
                    </w:rPr>
                    <w:t>国家标准</w:t>
                  </w:r>
                  <w:r>
                    <w:rPr>
                      <w:rFonts w:eastAsiaTheme="minorEastAsia"/>
                      <w:color w:val="auto"/>
                      <w:spacing w:val="34"/>
                      <w:sz w:val="18"/>
                      <w:szCs w:val="18"/>
                    </w:rPr>
                    <w:sym w:font="Wingdings 2" w:char="0052"/>
                  </w:r>
                </w:p>
              </w:tc>
              <w:tc>
                <w:tcPr>
                  <w:tcW w:w="1761" w:type="dxa"/>
                  <w:gridSpan w:val="6"/>
                  <w:vAlign w:val="center"/>
                </w:tcPr>
                <w:p>
                  <w:pPr>
                    <w:pStyle w:val="224"/>
                    <w:rPr>
                      <w:color w:val="auto"/>
                      <w:sz w:val="18"/>
                      <w:szCs w:val="18"/>
                    </w:rPr>
                  </w:pPr>
                  <w:r>
                    <w:rPr>
                      <w:color w:val="auto"/>
                      <w:sz w:val="18"/>
                      <w:szCs w:val="18"/>
                    </w:rPr>
                    <w:t>地方标准</w:t>
                  </w:r>
                  <w:r>
                    <w:rPr>
                      <w:rFonts w:eastAsiaTheme="minorEastAsia"/>
                      <w:color w:val="auto"/>
                      <w:spacing w:val="34"/>
                      <w:sz w:val="18"/>
                      <w:szCs w:val="18"/>
                    </w:rPr>
                    <w:sym w:font="Wingdings 2" w:char="0052"/>
                  </w:r>
                </w:p>
              </w:tc>
              <w:tc>
                <w:tcPr>
                  <w:tcW w:w="1871" w:type="dxa"/>
                  <w:gridSpan w:val="5"/>
                  <w:vAlign w:val="center"/>
                </w:tcPr>
                <w:p>
                  <w:pPr>
                    <w:pStyle w:val="224"/>
                    <w:rPr>
                      <w:color w:val="auto"/>
                      <w:sz w:val="18"/>
                      <w:szCs w:val="18"/>
                    </w:rPr>
                  </w:pPr>
                  <w:r>
                    <w:rPr>
                      <w:color w:val="auto"/>
                      <w:sz w:val="18"/>
                      <w:szCs w:val="18"/>
                    </w:rPr>
                    <w:t>附录D</w:t>
                  </w:r>
                  <w:r>
                    <w:rPr>
                      <w:rFonts w:eastAsiaTheme="minorEastAsia"/>
                      <w:color w:val="auto"/>
                      <w:spacing w:val="34"/>
                      <w:sz w:val="18"/>
                      <w:szCs w:val="18"/>
                    </w:rPr>
                    <w:sym w:font="Wingdings 2" w:char="00A3"/>
                  </w:r>
                </w:p>
              </w:tc>
              <w:tc>
                <w:tcPr>
                  <w:tcW w:w="1297" w:type="dxa"/>
                  <w:gridSpan w:val="2"/>
                  <w:vAlign w:val="center"/>
                </w:tcPr>
                <w:p>
                  <w:pPr>
                    <w:pStyle w:val="224"/>
                    <w:rPr>
                      <w:color w:val="auto"/>
                      <w:sz w:val="18"/>
                      <w:szCs w:val="18"/>
                    </w:rPr>
                  </w:pPr>
                  <w:r>
                    <w:rPr>
                      <w:color w:val="auto"/>
                      <w:sz w:val="18"/>
                      <w:szCs w:val="18"/>
                    </w:rPr>
                    <w:t>其他标准</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restart"/>
                  <w:vAlign w:val="center"/>
                </w:tcPr>
                <w:p>
                  <w:pPr>
                    <w:pStyle w:val="224"/>
                    <w:rPr>
                      <w:color w:val="auto"/>
                      <w:sz w:val="18"/>
                      <w:szCs w:val="18"/>
                    </w:rPr>
                  </w:pPr>
                  <w:r>
                    <w:rPr>
                      <w:color w:val="auto"/>
                      <w:sz w:val="18"/>
                      <w:szCs w:val="18"/>
                    </w:rPr>
                    <w:t>现状评价</w:t>
                  </w:r>
                </w:p>
              </w:tc>
              <w:tc>
                <w:tcPr>
                  <w:tcW w:w="1160" w:type="dxa"/>
                  <w:vAlign w:val="center"/>
                </w:tcPr>
                <w:p>
                  <w:pPr>
                    <w:pStyle w:val="224"/>
                    <w:rPr>
                      <w:color w:val="auto"/>
                      <w:sz w:val="18"/>
                      <w:szCs w:val="18"/>
                    </w:rPr>
                  </w:pPr>
                  <w:r>
                    <w:rPr>
                      <w:color w:val="auto"/>
                      <w:sz w:val="18"/>
                      <w:szCs w:val="18"/>
                    </w:rPr>
                    <w:t>环境功能区</w:t>
                  </w:r>
                </w:p>
              </w:tc>
              <w:tc>
                <w:tcPr>
                  <w:tcW w:w="2418" w:type="dxa"/>
                  <w:gridSpan w:val="5"/>
                  <w:vAlign w:val="center"/>
                </w:tcPr>
                <w:p>
                  <w:pPr>
                    <w:pStyle w:val="224"/>
                    <w:rPr>
                      <w:color w:val="auto"/>
                      <w:sz w:val="18"/>
                      <w:szCs w:val="18"/>
                    </w:rPr>
                  </w:pPr>
                  <w:r>
                    <w:rPr>
                      <w:color w:val="auto"/>
                      <w:sz w:val="18"/>
                      <w:szCs w:val="18"/>
                    </w:rPr>
                    <w:t>一类区</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color w:val="auto"/>
                      <w:sz w:val="18"/>
                      <w:szCs w:val="18"/>
                    </w:rPr>
                    <w:t>二类区</w:t>
                  </w:r>
                  <w:r>
                    <w:rPr>
                      <w:rFonts w:eastAsiaTheme="minorEastAsia"/>
                      <w:color w:val="auto"/>
                      <w:spacing w:val="34"/>
                      <w:sz w:val="18"/>
                      <w:szCs w:val="18"/>
                    </w:rPr>
                    <w:sym w:font="Wingdings 2" w:char="0052"/>
                  </w:r>
                </w:p>
              </w:tc>
              <w:tc>
                <w:tcPr>
                  <w:tcW w:w="2252" w:type="dxa"/>
                  <w:gridSpan w:val="5"/>
                  <w:vAlign w:val="center"/>
                </w:tcPr>
                <w:p>
                  <w:pPr>
                    <w:pStyle w:val="224"/>
                    <w:rPr>
                      <w:color w:val="auto"/>
                      <w:sz w:val="18"/>
                      <w:szCs w:val="18"/>
                    </w:rPr>
                  </w:pPr>
                  <w:r>
                    <w:rPr>
                      <w:color w:val="auto"/>
                      <w:sz w:val="18"/>
                      <w:szCs w:val="18"/>
                    </w:rPr>
                    <w:t>一类区和二类区</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评价基准年</w:t>
                  </w:r>
                </w:p>
              </w:tc>
              <w:tc>
                <w:tcPr>
                  <w:tcW w:w="6922" w:type="dxa"/>
                  <w:gridSpan w:val="16"/>
                  <w:vAlign w:val="center"/>
                </w:tcPr>
                <w:p>
                  <w:pPr>
                    <w:pStyle w:val="224"/>
                    <w:rPr>
                      <w:color w:val="auto"/>
                      <w:sz w:val="18"/>
                      <w:szCs w:val="18"/>
                    </w:rPr>
                  </w:pPr>
                  <w:r>
                    <w:rPr>
                      <w:color w:val="auto"/>
                      <w:sz w:val="18"/>
                      <w:szCs w:val="18"/>
                    </w:rPr>
                    <w:t>（</w:t>
                  </w:r>
                  <w:r>
                    <w:rPr>
                      <w:rFonts w:hint="eastAsia"/>
                      <w:color w:val="auto"/>
                      <w:sz w:val="18"/>
                      <w:szCs w:val="18"/>
                    </w:rPr>
                    <w:t>2017</w:t>
                  </w:r>
                  <w:r>
                    <w:rPr>
                      <w:color w:val="auto"/>
                      <w:sz w:val="18"/>
                      <w:szCs w:val="18"/>
                    </w:rPr>
                    <w:t>）年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环境空气质量现状调查数据来源</w:t>
                  </w:r>
                </w:p>
              </w:tc>
              <w:tc>
                <w:tcPr>
                  <w:tcW w:w="2418" w:type="dxa"/>
                  <w:gridSpan w:val="5"/>
                  <w:vAlign w:val="center"/>
                </w:tcPr>
                <w:p>
                  <w:pPr>
                    <w:pStyle w:val="224"/>
                    <w:rPr>
                      <w:color w:val="auto"/>
                      <w:sz w:val="18"/>
                      <w:szCs w:val="18"/>
                    </w:rPr>
                  </w:pPr>
                  <w:r>
                    <w:rPr>
                      <w:color w:val="auto"/>
                      <w:sz w:val="18"/>
                      <w:szCs w:val="18"/>
                    </w:rPr>
                    <w:t>长期例行监测数据</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color w:val="auto"/>
                      <w:sz w:val="18"/>
                      <w:szCs w:val="18"/>
                    </w:rPr>
                    <w:t>主管部门发布的数据</w:t>
                  </w:r>
                  <w:r>
                    <w:rPr>
                      <w:rFonts w:eastAsiaTheme="minorEastAsia"/>
                      <w:color w:val="auto"/>
                      <w:spacing w:val="34"/>
                      <w:sz w:val="18"/>
                      <w:szCs w:val="18"/>
                    </w:rPr>
                    <w:sym w:font="Wingdings 2" w:char="0052"/>
                  </w:r>
                </w:p>
              </w:tc>
              <w:tc>
                <w:tcPr>
                  <w:tcW w:w="2252" w:type="dxa"/>
                  <w:gridSpan w:val="5"/>
                  <w:vAlign w:val="center"/>
                </w:tcPr>
                <w:p>
                  <w:pPr>
                    <w:pStyle w:val="224"/>
                    <w:rPr>
                      <w:color w:val="auto"/>
                      <w:sz w:val="18"/>
                      <w:szCs w:val="18"/>
                    </w:rPr>
                  </w:pPr>
                  <w:r>
                    <w:rPr>
                      <w:color w:val="auto"/>
                      <w:sz w:val="18"/>
                      <w:szCs w:val="18"/>
                    </w:rPr>
                    <w:t>现状补充监测</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现状评价</w:t>
                  </w:r>
                </w:p>
              </w:tc>
              <w:tc>
                <w:tcPr>
                  <w:tcW w:w="3754" w:type="dxa"/>
                  <w:gridSpan w:val="9"/>
                  <w:vAlign w:val="center"/>
                </w:tcPr>
                <w:p>
                  <w:pPr>
                    <w:pStyle w:val="224"/>
                    <w:rPr>
                      <w:color w:val="auto"/>
                      <w:sz w:val="18"/>
                      <w:szCs w:val="18"/>
                    </w:rPr>
                  </w:pPr>
                  <w:r>
                    <w:rPr>
                      <w:color w:val="auto"/>
                      <w:sz w:val="18"/>
                      <w:szCs w:val="18"/>
                    </w:rPr>
                    <w:t>达标区</w:t>
                  </w:r>
                  <w:r>
                    <w:rPr>
                      <w:rFonts w:eastAsiaTheme="minorEastAsia"/>
                      <w:color w:val="auto"/>
                      <w:spacing w:val="34"/>
                      <w:sz w:val="18"/>
                      <w:szCs w:val="18"/>
                    </w:rPr>
                    <w:sym w:font="Wingdings 2" w:char="0052"/>
                  </w:r>
                </w:p>
              </w:tc>
              <w:tc>
                <w:tcPr>
                  <w:tcW w:w="3168" w:type="dxa"/>
                  <w:gridSpan w:val="7"/>
                  <w:vAlign w:val="center"/>
                </w:tcPr>
                <w:p>
                  <w:pPr>
                    <w:pStyle w:val="224"/>
                    <w:rPr>
                      <w:color w:val="auto"/>
                      <w:sz w:val="18"/>
                      <w:szCs w:val="18"/>
                    </w:rPr>
                  </w:pPr>
                  <w:r>
                    <w:rPr>
                      <w:color w:val="auto"/>
                      <w:sz w:val="18"/>
                      <w:szCs w:val="18"/>
                    </w:rPr>
                    <w:t>不达标区</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环境空气质量现状调查数据来源</w:t>
                  </w:r>
                </w:p>
              </w:tc>
              <w:tc>
                <w:tcPr>
                  <w:tcW w:w="1675" w:type="dxa"/>
                  <w:gridSpan w:val="2"/>
                  <w:vAlign w:val="center"/>
                </w:tcPr>
                <w:p>
                  <w:pPr>
                    <w:pStyle w:val="224"/>
                    <w:rPr>
                      <w:rFonts w:eastAsiaTheme="minorEastAsia"/>
                      <w:color w:val="auto"/>
                      <w:spacing w:val="34"/>
                      <w:sz w:val="18"/>
                      <w:szCs w:val="18"/>
                    </w:rPr>
                  </w:pPr>
                  <w:r>
                    <w:rPr>
                      <w:color w:val="auto"/>
                      <w:sz w:val="18"/>
                      <w:szCs w:val="18"/>
                    </w:rPr>
                    <w:t>本项目正常排放源</w:t>
                  </w:r>
                  <w:r>
                    <w:rPr>
                      <w:rFonts w:eastAsiaTheme="minorEastAsia"/>
                      <w:color w:val="auto"/>
                      <w:spacing w:val="34"/>
                      <w:sz w:val="18"/>
                      <w:szCs w:val="18"/>
                    </w:rPr>
                    <w:sym w:font="Wingdings 2" w:char="0052"/>
                  </w:r>
                </w:p>
                <w:p>
                  <w:pPr>
                    <w:pStyle w:val="224"/>
                    <w:rPr>
                      <w:color w:val="auto"/>
                      <w:sz w:val="18"/>
                      <w:szCs w:val="18"/>
                    </w:rPr>
                  </w:pPr>
                  <w:r>
                    <w:rPr>
                      <w:color w:val="auto"/>
                      <w:sz w:val="18"/>
                      <w:szCs w:val="18"/>
                    </w:rPr>
                    <w:t>本项目非正常排放源</w:t>
                  </w:r>
                  <w:r>
                    <w:rPr>
                      <w:color w:val="auto"/>
                      <w:sz w:val="18"/>
                      <w:szCs w:val="18"/>
                    </w:rPr>
                    <w:sym w:font="Wingdings 2" w:char="00A3"/>
                  </w:r>
                </w:p>
                <w:p>
                  <w:pPr>
                    <w:pStyle w:val="224"/>
                    <w:rPr>
                      <w:rFonts w:eastAsiaTheme="minorEastAsia"/>
                      <w:color w:val="auto"/>
                      <w:spacing w:val="34"/>
                      <w:sz w:val="18"/>
                      <w:szCs w:val="18"/>
                    </w:rPr>
                  </w:pPr>
                  <w:r>
                    <w:rPr>
                      <w:color w:val="auto"/>
                      <w:sz w:val="18"/>
                      <w:szCs w:val="18"/>
                    </w:rPr>
                    <w:t>现有污染源</w:t>
                  </w:r>
                  <w:r>
                    <w:rPr>
                      <w:color w:val="auto"/>
                      <w:sz w:val="18"/>
                      <w:szCs w:val="18"/>
                    </w:rPr>
                    <w:sym w:font="Wingdings 2" w:char="00A3"/>
                  </w:r>
                </w:p>
              </w:tc>
              <w:tc>
                <w:tcPr>
                  <w:tcW w:w="1779" w:type="dxa"/>
                  <w:gridSpan w:val="6"/>
                  <w:vAlign w:val="center"/>
                </w:tcPr>
                <w:p>
                  <w:pPr>
                    <w:pStyle w:val="224"/>
                    <w:rPr>
                      <w:color w:val="auto"/>
                      <w:sz w:val="18"/>
                      <w:szCs w:val="18"/>
                    </w:rPr>
                  </w:pPr>
                  <w:r>
                    <w:rPr>
                      <w:color w:val="auto"/>
                      <w:sz w:val="18"/>
                      <w:szCs w:val="18"/>
                    </w:rPr>
                    <w:t>拟替代的污染源</w:t>
                  </w:r>
                  <w:r>
                    <w:rPr>
                      <w:rFonts w:eastAsiaTheme="minorEastAsia"/>
                      <w:color w:val="auto"/>
                      <w:spacing w:val="34"/>
                      <w:sz w:val="18"/>
                      <w:szCs w:val="18"/>
                    </w:rPr>
                    <w:sym w:font="Wingdings 2" w:char="00A3"/>
                  </w:r>
                </w:p>
              </w:tc>
              <w:tc>
                <w:tcPr>
                  <w:tcW w:w="2049" w:type="dxa"/>
                  <w:gridSpan w:val="5"/>
                  <w:vAlign w:val="center"/>
                </w:tcPr>
                <w:p>
                  <w:pPr>
                    <w:pStyle w:val="224"/>
                    <w:rPr>
                      <w:b/>
                      <w:bCs/>
                      <w:color w:val="auto"/>
                      <w:sz w:val="18"/>
                      <w:szCs w:val="18"/>
                    </w:rPr>
                  </w:pPr>
                  <w:r>
                    <w:rPr>
                      <w:color w:val="auto"/>
                      <w:sz w:val="18"/>
                      <w:szCs w:val="18"/>
                    </w:rPr>
                    <w:t>其他在建、拟建项目污染源</w:t>
                  </w:r>
                  <w:r>
                    <w:rPr>
                      <w:rFonts w:eastAsiaTheme="minorEastAsia"/>
                      <w:color w:val="auto"/>
                      <w:spacing w:val="34"/>
                      <w:sz w:val="18"/>
                      <w:szCs w:val="18"/>
                    </w:rPr>
                    <w:sym w:font="Wingdings 2" w:char="00A3"/>
                  </w:r>
                </w:p>
              </w:tc>
              <w:tc>
                <w:tcPr>
                  <w:tcW w:w="1419" w:type="dxa"/>
                  <w:gridSpan w:val="3"/>
                  <w:vAlign w:val="center"/>
                </w:tcPr>
                <w:p>
                  <w:pPr>
                    <w:pStyle w:val="224"/>
                    <w:rPr>
                      <w:color w:val="auto"/>
                      <w:sz w:val="18"/>
                      <w:szCs w:val="18"/>
                    </w:rPr>
                  </w:pPr>
                  <w:r>
                    <w:rPr>
                      <w:color w:val="auto"/>
                      <w:sz w:val="18"/>
                      <w:szCs w:val="18"/>
                    </w:rPr>
                    <w:t>区域污染源</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54" w:hRule="atLeast"/>
                <w:jc w:val="center"/>
              </w:trPr>
              <w:tc>
                <w:tcPr>
                  <w:tcW w:w="908" w:type="dxa"/>
                  <w:vMerge w:val="restart"/>
                  <w:vAlign w:val="center"/>
                </w:tcPr>
                <w:p>
                  <w:pPr>
                    <w:pStyle w:val="224"/>
                    <w:rPr>
                      <w:color w:val="auto"/>
                      <w:sz w:val="18"/>
                      <w:szCs w:val="18"/>
                    </w:rPr>
                  </w:pPr>
                  <w:r>
                    <w:rPr>
                      <w:color w:val="auto"/>
                      <w:sz w:val="18"/>
                      <w:szCs w:val="18"/>
                    </w:rPr>
                    <w:t>污染源调查</w:t>
                  </w:r>
                </w:p>
              </w:tc>
              <w:tc>
                <w:tcPr>
                  <w:tcW w:w="1160" w:type="dxa"/>
                  <w:vAlign w:val="center"/>
                </w:tcPr>
                <w:p>
                  <w:pPr>
                    <w:pStyle w:val="224"/>
                    <w:rPr>
                      <w:color w:val="auto"/>
                      <w:sz w:val="18"/>
                      <w:szCs w:val="18"/>
                    </w:rPr>
                  </w:pPr>
                  <w:r>
                    <w:rPr>
                      <w:color w:val="auto"/>
                      <w:sz w:val="18"/>
                      <w:szCs w:val="18"/>
                    </w:rPr>
                    <w:t>预测模型</w:t>
                  </w:r>
                </w:p>
              </w:tc>
              <w:tc>
                <w:tcPr>
                  <w:tcW w:w="1133" w:type="dxa"/>
                  <w:vAlign w:val="center"/>
                </w:tcPr>
                <w:p>
                  <w:pPr>
                    <w:pStyle w:val="224"/>
                    <w:rPr>
                      <w:color w:val="auto"/>
                      <w:sz w:val="18"/>
                      <w:szCs w:val="18"/>
                    </w:rPr>
                  </w:pPr>
                  <w:r>
                    <w:rPr>
                      <w:color w:val="auto"/>
                      <w:sz w:val="18"/>
                      <w:szCs w:val="18"/>
                    </w:rPr>
                    <w:t>AERMOD</w:t>
                  </w:r>
                  <w:r>
                    <w:rPr>
                      <w:rFonts w:eastAsiaTheme="minorEastAsia"/>
                      <w:color w:val="auto"/>
                      <w:spacing w:val="34"/>
                      <w:sz w:val="18"/>
                      <w:szCs w:val="18"/>
                    </w:rPr>
                    <w:sym w:font="Wingdings 2" w:char="00A3"/>
                  </w:r>
                </w:p>
              </w:tc>
              <w:tc>
                <w:tcPr>
                  <w:tcW w:w="963" w:type="dxa"/>
                  <w:gridSpan w:val="3"/>
                  <w:vAlign w:val="center"/>
                </w:tcPr>
                <w:p>
                  <w:pPr>
                    <w:pStyle w:val="224"/>
                    <w:rPr>
                      <w:color w:val="auto"/>
                      <w:sz w:val="18"/>
                      <w:szCs w:val="18"/>
                    </w:rPr>
                  </w:pPr>
                  <w:r>
                    <w:rPr>
                      <w:color w:val="auto"/>
                      <w:sz w:val="18"/>
                      <w:szCs w:val="18"/>
                    </w:rPr>
                    <w:t>ADMS</w:t>
                  </w:r>
                  <w:r>
                    <w:rPr>
                      <w:rFonts w:eastAsiaTheme="minorEastAsia"/>
                      <w:color w:val="auto"/>
                      <w:spacing w:val="34"/>
                      <w:sz w:val="18"/>
                      <w:szCs w:val="18"/>
                    </w:rPr>
                    <w:sym w:font="Wingdings 2" w:char="00A3"/>
                  </w:r>
                </w:p>
              </w:tc>
              <w:tc>
                <w:tcPr>
                  <w:tcW w:w="963" w:type="dxa"/>
                  <w:gridSpan w:val="2"/>
                  <w:vAlign w:val="center"/>
                </w:tcPr>
                <w:p>
                  <w:pPr>
                    <w:pStyle w:val="224"/>
                    <w:rPr>
                      <w:color w:val="auto"/>
                      <w:sz w:val="18"/>
                      <w:szCs w:val="18"/>
                    </w:rPr>
                  </w:pPr>
                  <w:r>
                    <w:rPr>
                      <w:color w:val="auto"/>
                      <w:sz w:val="18"/>
                      <w:szCs w:val="18"/>
                    </w:rPr>
                    <w:t>AUSTAL2000</w:t>
                  </w:r>
                  <w:r>
                    <w:rPr>
                      <w:rFonts w:eastAsiaTheme="minorEastAsia"/>
                      <w:color w:val="auto"/>
                      <w:spacing w:val="34"/>
                      <w:sz w:val="18"/>
                      <w:szCs w:val="18"/>
                    </w:rPr>
                    <w:sym w:font="Wingdings 2" w:char="00A3"/>
                  </w:r>
                </w:p>
              </w:tc>
              <w:tc>
                <w:tcPr>
                  <w:tcW w:w="963" w:type="dxa"/>
                  <w:gridSpan w:val="4"/>
                  <w:vAlign w:val="center"/>
                </w:tcPr>
                <w:p>
                  <w:pPr>
                    <w:pStyle w:val="224"/>
                    <w:rPr>
                      <w:color w:val="auto"/>
                      <w:sz w:val="18"/>
                      <w:szCs w:val="18"/>
                    </w:rPr>
                  </w:pPr>
                  <w:r>
                    <w:rPr>
                      <w:color w:val="auto"/>
                      <w:sz w:val="18"/>
                      <w:szCs w:val="18"/>
                    </w:rPr>
                    <w:t>EDMS/AEDT</w:t>
                  </w:r>
                  <w:r>
                    <w:rPr>
                      <w:rFonts w:eastAsiaTheme="minorEastAsia"/>
                      <w:color w:val="auto"/>
                      <w:spacing w:val="34"/>
                      <w:sz w:val="18"/>
                      <w:szCs w:val="18"/>
                    </w:rPr>
                    <w:sym w:font="Wingdings 2" w:char="00A3"/>
                  </w:r>
                </w:p>
              </w:tc>
              <w:tc>
                <w:tcPr>
                  <w:tcW w:w="963" w:type="dxa"/>
                  <w:gridSpan w:val="2"/>
                  <w:vAlign w:val="center"/>
                </w:tcPr>
                <w:p>
                  <w:pPr>
                    <w:pStyle w:val="224"/>
                    <w:rPr>
                      <w:color w:val="auto"/>
                      <w:sz w:val="18"/>
                      <w:szCs w:val="18"/>
                    </w:rPr>
                  </w:pPr>
                  <w:r>
                    <w:rPr>
                      <w:color w:val="auto"/>
                      <w:sz w:val="18"/>
                      <w:szCs w:val="18"/>
                    </w:rPr>
                    <w:t>CALPUFF</w:t>
                  </w:r>
                  <w:r>
                    <w:rPr>
                      <w:rFonts w:eastAsiaTheme="minorEastAsia"/>
                      <w:color w:val="auto"/>
                      <w:spacing w:val="34"/>
                      <w:sz w:val="18"/>
                      <w:szCs w:val="18"/>
                    </w:rPr>
                    <w:sym w:font="Wingdings 2" w:char="00A3"/>
                  </w:r>
                </w:p>
              </w:tc>
              <w:tc>
                <w:tcPr>
                  <w:tcW w:w="963" w:type="dxa"/>
                  <w:gridSpan w:val="3"/>
                  <w:vAlign w:val="center"/>
                </w:tcPr>
                <w:p>
                  <w:pPr>
                    <w:pStyle w:val="224"/>
                    <w:rPr>
                      <w:color w:val="auto"/>
                      <w:sz w:val="18"/>
                      <w:szCs w:val="18"/>
                    </w:rPr>
                  </w:pPr>
                  <w:r>
                    <w:rPr>
                      <w:color w:val="auto"/>
                      <w:sz w:val="18"/>
                      <w:szCs w:val="18"/>
                    </w:rPr>
                    <w:t>网格模型</w:t>
                  </w:r>
                  <w:r>
                    <w:rPr>
                      <w:rFonts w:eastAsiaTheme="minorEastAsia"/>
                      <w:color w:val="auto"/>
                      <w:spacing w:val="34"/>
                      <w:sz w:val="18"/>
                      <w:szCs w:val="18"/>
                    </w:rPr>
                    <w:sym w:font="Wingdings 2" w:char="00A3"/>
                  </w:r>
                </w:p>
              </w:tc>
              <w:tc>
                <w:tcPr>
                  <w:tcW w:w="974" w:type="dxa"/>
                  <w:vAlign w:val="center"/>
                </w:tcPr>
                <w:p>
                  <w:pPr>
                    <w:pStyle w:val="224"/>
                    <w:rPr>
                      <w:color w:val="auto"/>
                      <w:sz w:val="18"/>
                      <w:szCs w:val="18"/>
                    </w:rPr>
                  </w:pPr>
                  <w:r>
                    <w:rPr>
                      <w:color w:val="auto"/>
                      <w:sz w:val="18"/>
                      <w:szCs w:val="18"/>
                    </w:rPr>
                    <w:t>其他</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1"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预测范围</w:t>
                  </w:r>
                </w:p>
              </w:tc>
              <w:tc>
                <w:tcPr>
                  <w:tcW w:w="2418" w:type="dxa"/>
                  <w:gridSpan w:val="5"/>
                  <w:vAlign w:val="center"/>
                </w:tcPr>
                <w:p>
                  <w:pPr>
                    <w:pStyle w:val="224"/>
                    <w:rPr>
                      <w:color w:val="auto"/>
                      <w:sz w:val="18"/>
                      <w:szCs w:val="18"/>
                    </w:rPr>
                  </w:pPr>
                  <w:r>
                    <w:rPr>
                      <w:color w:val="auto"/>
                      <w:sz w:val="18"/>
                      <w:szCs w:val="18"/>
                    </w:rPr>
                    <w:t>边长≥50km</w:t>
                  </w:r>
                  <w:r>
                    <w:rPr>
                      <w:rFonts w:eastAsiaTheme="minorEastAsia"/>
                      <w:color w:val="auto"/>
                      <w:spacing w:val="34"/>
                      <w:sz w:val="18"/>
                      <w:szCs w:val="18"/>
                    </w:rPr>
                    <w:sym w:font="Wingdings 2" w:char="00A3"/>
                  </w:r>
                </w:p>
              </w:tc>
              <w:tc>
                <w:tcPr>
                  <w:tcW w:w="2252" w:type="dxa"/>
                  <w:gridSpan w:val="6"/>
                  <w:vAlign w:val="center"/>
                </w:tcPr>
                <w:p>
                  <w:pPr>
                    <w:pStyle w:val="224"/>
                    <w:rPr>
                      <w:color w:val="auto"/>
                      <w:sz w:val="18"/>
                      <w:szCs w:val="18"/>
                    </w:rPr>
                  </w:pPr>
                  <w:r>
                    <w:rPr>
                      <w:rFonts w:eastAsiaTheme="minorEastAsia"/>
                      <w:color w:val="auto"/>
                      <w:spacing w:val="34"/>
                      <w:sz w:val="18"/>
                      <w:szCs w:val="18"/>
                    </w:rPr>
                    <w:t>边长5~50km</w:t>
                  </w:r>
                  <w:r>
                    <w:rPr>
                      <w:rFonts w:eastAsiaTheme="minorEastAsia"/>
                      <w:color w:val="auto"/>
                      <w:spacing w:val="34"/>
                      <w:sz w:val="18"/>
                      <w:szCs w:val="18"/>
                    </w:rPr>
                    <w:sym w:font="Wingdings 2" w:char="00A3"/>
                  </w:r>
                </w:p>
              </w:tc>
              <w:tc>
                <w:tcPr>
                  <w:tcW w:w="2252" w:type="dxa"/>
                  <w:gridSpan w:val="5"/>
                  <w:vAlign w:val="center"/>
                </w:tcPr>
                <w:p>
                  <w:pPr>
                    <w:pStyle w:val="224"/>
                    <w:rPr>
                      <w:color w:val="auto"/>
                      <w:sz w:val="18"/>
                      <w:szCs w:val="18"/>
                    </w:rPr>
                  </w:pPr>
                  <w:r>
                    <w:rPr>
                      <w:rFonts w:eastAsiaTheme="minorEastAsia"/>
                      <w:color w:val="auto"/>
                      <w:spacing w:val="34"/>
                      <w:sz w:val="18"/>
                      <w:szCs w:val="18"/>
                    </w:rPr>
                    <w:t>边长=5km</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预测因子</w:t>
                  </w:r>
                </w:p>
              </w:tc>
              <w:tc>
                <w:tcPr>
                  <w:tcW w:w="3754" w:type="dxa"/>
                  <w:gridSpan w:val="9"/>
                  <w:vAlign w:val="center"/>
                </w:tcPr>
                <w:p>
                  <w:pPr>
                    <w:pStyle w:val="224"/>
                    <w:rPr>
                      <w:color w:val="auto"/>
                      <w:sz w:val="18"/>
                      <w:szCs w:val="18"/>
                    </w:rPr>
                  </w:pPr>
                  <w:r>
                    <w:rPr>
                      <w:color w:val="auto"/>
                      <w:sz w:val="18"/>
                      <w:szCs w:val="18"/>
                    </w:rPr>
                    <w:t>预测因子（</w:t>
                  </w:r>
                  <w:r>
                    <w:rPr>
                      <w:rFonts w:hint="eastAsia"/>
                      <w:color w:val="auto"/>
                      <w:sz w:val="18"/>
                      <w:szCs w:val="18"/>
                    </w:rPr>
                    <w:t>/</w:t>
                  </w:r>
                  <w:r>
                    <w:rPr>
                      <w:color w:val="auto"/>
                      <w:sz w:val="18"/>
                      <w:szCs w:val="18"/>
                    </w:rPr>
                    <w:t>）</w:t>
                  </w:r>
                </w:p>
              </w:tc>
              <w:tc>
                <w:tcPr>
                  <w:tcW w:w="3168" w:type="dxa"/>
                  <w:gridSpan w:val="7"/>
                  <w:vAlign w:val="center"/>
                </w:tcPr>
                <w:p>
                  <w:pPr>
                    <w:pStyle w:val="224"/>
                    <w:rPr>
                      <w:rFonts w:eastAsiaTheme="minorEastAsia"/>
                      <w:color w:val="auto"/>
                      <w:spacing w:val="34"/>
                      <w:sz w:val="18"/>
                      <w:szCs w:val="18"/>
                    </w:rPr>
                  </w:pPr>
                  <w:r>
                    <w:rPr>
                      <w:color w:val="auto"/>
                      <w:sz w:val="18"/>
                      <w:szCs w:val="18"/>
                    </w:rPr>
                    <w:t>包括二次PM2.5</w:t>
                  </w:r>
                  <w:r>
                    <w:rPr>
                      <w:rFonts w:eastAsiaTheme="minorEastAsia"/>
                      <w:color w:val="auto"/>
                      <w:spacing w:val="34"/>
                      <w:sz w:val="18"/>
                      <w:szCs w:val="18"/>
                    </w:rPr>
                    <w:sym w:font="Wingdings 2" w:char="00A3"/>
                  </w:r>
                </w:p>
                <w:p>
                  <w:pPr>
                    <w:pStyle w:val="224"/>
                    <w:rPr>
                      <w:color w:val="auto"/>
                      <w:sz w:val="18"/>
                      <w:szCs w:val="18"/>
                    </w:rPr>
                  </w:pPr>
                  <w:r>
                    <w:rPr>
                      <w:rFonts w:eastAsiaTheme="minorEastAsia"/>
                      <w:color w:val="auto"/>
                      <w:spacing w:val="34"/>
                      <w:sz w:val="18"/>
                      <w:szCs w:val="18"/>
                    </w:rPr>
                    <w:t>不包括二次PM2.5</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正常排放短期浓度贡献值</w:t>
                  </w:r>
                </w:p>
              </w:tc>
              <w:tc>
                <w:tcPr>
                  <w:tcW w:w="3754" w:type="dxa"/>
                  <w:gridSpan w:val="9"/>
                  <w:vAlign w:val="center"/>
                </w:tcPr>
                <w:p>
                  <w:pPr>
                    <w:pStyle w:val="224"/>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最大占标率≤100%</w:t>
                  </w:r>
                  <w:r>
                    <w:rPr>
                      <w:rFonts w:eastAsiaTheme="minorEastAsia"/>
                      <w:color w:val="auto"/>
                      <w:spacing w:val="34"/>
                      <w:sz w:val="18"/>
                      <w:szCs w:val="18"/>
                    </w:rPr>
                    <w:sym w:font="Wingdings 2" w:char="00A3"/>
                  </w:r>
                </w:p>
              </w:tc>
              <w:tc>
                <w:tcPr>
                  <w:tcW w:w="3168" w:type="dxa"/>
                  <w:gridSpan w:val="7"/>
                  <w:vAlign w:val="center"/>
                </w:tcPr>
                <w:p>
                  <w:pPr>
                    <w:pStyle w:val="224"/>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最大占标率＞100%</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Merge w:val="restart"/>
                  <w:vAlign w:val="center"/>
                </w:tcPr>
                <w:p>
                  <w:pPr>
                    <w:pStyle w:val="224"/>
                    <w:rPr>
                      <w:color w:val="auto"/>
                      <w:sz w:val="18"/>
                      <w:szCs w:val="18"/>
                    </w:rPr>
                  </w:pPr>
                  <w:r>
                    <w:rPr>
                      <w:color w:val="auto"/>
                      <w:sz w:val="18"/>
                      <w:szCs w:val="18"/>
                    </w:rPr>
                    <w:t>正常排放年均浓度贡献值</w:t>
                  </w:r>
                </w:p>
              </w:tc>
              <w:tc>
                <w:tcPr>
                  <w:tcW w:w="2418" w:type="dxa"/>
                  <w:gridSpan w:val="5"/>
                  <w:vAlign w:val="center"/>
                </w:tcPr>
                <w:p>
                  <w:pPr>
                    <w:pStyle w:val="224"/>
                    <w:rPr>
                      <w:color w:val="auto"/>
                      <w:sz w:val="18"/>
                      <w:szCs w:val="18"/>
                    </w:rPr>
                  </w:pPr>
                  <w:r>
                    <w:rPr>
                      <w:color w:val="auto"/>
                      <w:sz w:val="18"/>
                      <w:szCs w:val="18"/>
                    </w:rPr>
                    <w:t>一类区</w:t>
                  </w:r>
                </w:p>
              </w:tc>
              <w:tc>
                <w:tcPr>
                  <w:tcW w:w="2252" w:type="dxa"/>
                  <w:gridSpan w:val="6"/>
                  <w:vAlign w:val="center"/>
                </w:tcPr>
                <w:p>
                  <w:pPr>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w:t>
                  </w:r>
                  <w:r>
                    <w:rPr>
                      <w:rFonts w:eastAsiaTheme="minorEastAsia"/>
                      <w:color w:val="auto"/>
                      <w:spacing w:val="34"/>
                      <w:sz w:val="18"/>
                      <w:szCs w:val="18"/>
                    </w:rPr>
                    <w:sym w:font="Wingdings 2" w:char="00A3"/>
                  </w:r>
                </w:p>
              </w:tc>
              <w:tc>
                <w:tcPr>
                  <w:tcW w:w="2252" w:type="dxa"/>
                  <w:gridSpan w:val="5"/>
                  <w:vAlign w:val="center"/>
                </w:tcPr>
                <w:p>
                  <w:pPr>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最大占标率＞10%</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Merge w:val="continue"/>
                  <w:vAlign w:val="center"/>
                </w:tcPr>
                <w:p>
                  <w:pPr>
                    <w:pStyle w:val="224"/>
                    <w:rPr>
                      <w:color w:val="auto"/>
                      <w:sz w:val="18"/>
                      <w:szCs w:val="18"/>
                    </w:rPr>
                  </w:pPr>
                </w:p>
              </w:tc>
              <w:tc>
                <w:tcPr>
                  <w:tcW w:w="2418" w:type="dxa"/>
                  <w:gridSpan w:val="5"/>
                  <w:vAlign w:val="center"/>
                </w:tcPr>
                <w:p>
                  <w:pPr>
                    <w:pStyle w:val="224"/>
                    <w:rPr>
                      <w:color w:val="auto"/>
                      <w:sz w:val="18"/>
                      <w:szCs w:val="18"/>
                    </w:rPr>
                  </w:pPr>
                  <w:r>
                    <w:rPr>
                      <w:color w:val="auto"/>
                      <w:sz w:val="18"/>
                      <w:szCs w:val="18"/>
                    </w:rPr>
                    <w:t>二类区</w:t>
                  </w:r>
                </w:p>
              </w:tc>
              <w:tc>
                <w:tcPr>
                  <w:tcW w:w="2252" w:type="dxa"/>
                  <w:gridSpan w:val="6"/>
                  <w:vAlign w:val="center"/>
                </w:tcPr>
                <w:p>
                  <w:pPr>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最大占标率≤30%</w:t>
                  </w:r>
                  <w:r>
                    <w:rPr>
                      <w:rFonts w:eastAsiaTheme="minorEastAsia"/>
                      <w:color w:val="auto"/>
                      <w:spacing w:val="34"/>
                      <w:sz w:val="18"/>
                      <w:szCs w:val="18"/>
                    </w:rPr>
                    <w:sym w:font="Wingdings 2" w:char="00A3"/>
                  </w:r>
                </w:p>
              </w:tc>
              <w:tc>
                <w:tcPr>
                  <w:tcW w:w="2252" w:type="dxa"/>
                  <w:gridSpan w:val="5"/>
                  <w:vAlign w:val="center"/>
                </w:tcPr>
                <w:p>
                  <w:pPr>
                    <w:jc w:val="center"/>
                    <w:rPr>
                      <w:color w:val="auto"/>
                      <w:sz w:val="18"/>
                      <w:szCs w:val="18"/>
                    </w:rPr>
                  </w:pPr>
                  <w:r>
                    <w:rPr>
                      <w:color w:val="auto"/>
                      <w:sz w:val="18"/>
                      <w:szCs w:val="18"/>
                    </w:rPr>
                    <w:t>C</w:t>
                  </w:r>
                  <w:r>
                    <w:rPr>
                      <w:color w:val="auto"/>
                      <w:sz w:val="18"/>
                      <w:szCs w:val="18"/>
                      <w:vertAlign w:val="subscript"/>
                    </w:rPr>
                    <w:t>本项目</w:t>
                  </w:r>
                  <w:r>
                    <w:rPr>
                      <w:color w:val="auto"/>
                      <w:sz w:val="18"/>
                      <w:szCs w:val="18"/>
                    </w:rPr>
                    <w:t>最大占标率＞30%</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非正常排放1h浓度贡献值</w:t>
                  </w:r>
                </w:p>
              </w:tc>
              <w:tc>
                <w:tcPr>
                  <w:tcW w:w="2418" w:type="dxa"/>
                  <w:gridSpan w:val="5"/>
                  <w:vAlign w:val="center"/>
                </w:tcPr>
                <w:p>
                  <w:pPr>
                    <w:pStyle w:val="224"/>
                    <w:rPr>
                      <w:color w:val="auto"/>
                      <w:sz w:val="18"/>
                      <w:szCs w:val="18"/>
                    </w:rPr>
                  </w:pPr>
                  <w:r>
                    <w:rPr>
                      <w:color w:val="auto"/>
                      <w:sz w:val="18"/>
                      <w:szCs w:val="18"/>
                    </w:rPr>
                    <w:t>非正常持续时长（</w:t>
                  </w:r>
                  <w:r>
                    <w:rPr>
                      <w:rFonts w:hint="eastAsia"/>
                      <w:color w:val="auto"/>
                      <w:sz w:val="18"/>
                      <w:szCs w:val="18"/>
                    </w:rPr>
                    <w:t>/</w:t>
                  </w:r>
                  <w:r>
                    <w:rPr>
                      <w:color w:val="auto"/>
                      <w:sz w:val="18"/>
                      <w:szCs w:val="18"/>
                    </w:rPr>
                    <w:t>）h</w:t>
                  </w:r>
                </w:p>
              </w:tc>
              <w:tc>
                <w:tcPr>
                  <w:tcW w:w="2252" w:type="dxa"/>
                  <w:gridSpan w:val="6"/>
                  <w:vAlign w:val="center"/>
                </w:tcPr>
                <w:p>
                  <w:pPr>
                    <w:pStyle w:val="224"/>
                    <w:rPr>
                      <w:color w:val="auto"/>
                      <w:sz w:val="18"/>
                      <w:szCs w:val="18"/>
                    </w:rPr>
                  </w:pPr>
                  <w:r>
                    <w:rPr>
                      <w:color w:val="auto"/>
                      <w:sz w:val="18"/>
                      <w:szCs w:val="18"/>
                    </w:rPr>
                    <w:t>C</w:t>
                  </w:r>
                  <w:r>
                    <w:rPr>
                      <w:color w:val="auto"/>
                      <w:sz w:val="18"/>
                      <w:szCs w:val="18"/>
                      <w:vertAlign w:val="subscript"/>
                    </w:rPr>
                    <w:t>非正常</w:t>
                  </w:r>
                  <w:r>
                    <w:rPr>
                      <w:color w:val="auto"/>
                      <w:sz w:val="18"/>
                      <w:szCs w:val="18"/>
                    </w:rPr>
                    <w:t>最大占标率≤100%</w:t>
                  </w:r>
                  <w:r>
                    <w:rPr>
                      <w:rFonts w:eastAsiaTheme="minorEastAsia"/>
                      <w:color w:val="auto"/>
                      <w:spacing w:val="34"/>
                      <w:sz w:val="18"/>
                      <w:szCs w:val="18"/>
                    </w:rPr>
                    <w:sym w:font="Wingdings 2" w:char="00A3"/>
                  </w:r>
                </w:p>
              </w:tc>
              <w:tc>
                <w:tcPr>
                  <w:tcW w:w="2252" w:type="dxa"/>
                  <w:gridSpan w:val="5"/>
                  <w:vAlign w:val="center"/>
                </w:tcPr>
                <w:p>
                  <w:pPr>
                    <w:pStyle w:val="224"/>
                    <w:rPr>
                      <w:color w:val="auto"/>
                      <w:sz w:val="18"/>
                      <w:szCs w:val="18"/>
                    </w:rPr>
                  </w:pPr>
                  <w:r>
                    <w:rPr>
                      <w:color w:val="auto"/>
                      <w:sz w:val="18"/>
                      <w:szCs w:val="18"/>
                    </w:rPr>
                    <w:t>C</w:t>
                  </w:r>
                  <w:r>
                    <w:rPr>
                      <w:color w:val="auto"/>
                      <w:sz w:val="18"/>
                      <w:szCs w:val="18"/>
                      <w:vertAlign w:val="subscript"/>
                    </w:rPr>
                    <w:t>非正常</w:t>
                  </w:r>
                  <w:r>
                    <w:rPr>
                      <w:color w:val="auto"/>
                      <w:sz w:val="18"/>
                      <w:szCs w:val="18"/>
                    </w:rPr>
                    <w:t>最大占标率＞100%</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保证率日平均浓度和年平均浓度叠加值</w:t>
                  </w:r>
                </w:p>
              </w:tc>
              <w:tc>
                <w:tcPr>
                  <w:tcW w:w="3754" w:type="dxa"/>
                  <w:gridSpan w:val="9"/>
                  <w:vAlign w:val="center"/>
                </w:tcPr>
                <w:p>
                  <w:pPr>
                    <w:pStyle w:val="224"/>
                    <w:rPr>
                      <w:color w:val="auto"/>
                      <w:sz w:val="18"/>
                      <w:szCs w:val="18"/>
                    </w:rPr>
                  </w:pPr>
                  <w:r>
                    <w:rPr>
                      <w:color w:val="auto"/>
                      <w:sz w:val="18"/>
                      <w:szCs w:val="18"/>
                    </w:rPr>
                    <w:t>C</w:t>
                  </w:r>
                  <w:r>
                    <w:rPr>
                      <w:color w:val="auto"/>
                      <w:sz w:val="18"/>
                      <w:szCs w:val="18"/>
                      <w:vertAlign w:val="subscript"/>
                    </w:rPr>
                    <w:t>叠加</w:t>
                  </w:r>
                  <w:r>
                    <w:rPr>
                      <w:color w:val="auto"/>
                      <w:sz w:val="18"/>
                      <w:szCs w:val="18"/>
                    </w:rPr>
                    <w:t>达标</w:t>
                  </w:r>
                  <w:r>
                    <w:rPr>
                      <w:rFonts w:eastAsiaTheme="minorEastAsia"/>
                      <w:color w:val="auto"/>
                      <w:spacing w:val="34"/>
                      <w:sz w:val="18"/>
                      <w:szCs w:val="18"/>
                    </w:rPr>
                    <w:sym w:font="Wingdings 2" w:char="00A3"/>
                  </w:r>
                </w:p>
              </w:tc>
              <w:tc>
                <w:tcPr>
                  <w:tcW w:w="3168" w:type="dxa"/>
                  <w:gridSpan w:val="7"/>
                  <w:vAlign w:val="center"/>
                </w:tcPr>
                <w:p>
                  <w:pPr>
                    <w:pStyle w:val="224"/>
                    <w:rPr>
                      <w:color w:val="auto"/>
                      <w:sz w:val="18"/>
                      <w:szCs w:val="18"/>
                    </w:rPr>
                  </w:pPr>
                  <w:r>
                    <w:rPr>
                      <w:color w:val="auto"/>
                      <w:sz w:val="18"/>
                      <w:szCs w:val="18"/>
                    </w:rPr>
                    <w:t>C</w:t>
                  </w:r>
                  <w:r>
                    <w:rPr>
                      <w:color w:val="auto"/>
                      <w:sz w:val="18"/>
                      <w:szCs w:val="18"/>
                      <w:vertAlign w:val="subscript"/>
                    </w:rPr>
                    <w:t>叠加</w:t>
                  </w:r>
                  <w:r>
                    <w:rPr>
                      <w:color w:val="auto"/>
                      <w:sz w:val="18"/>
                      <w:szCs w:val="18"/>
                    </w:rPr>
                    <w:t>不达标</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rPr>
                      <w:color w:val="auto"/>
                      <w:sz w:val="18"/>
                      <w:szCs w:val="18"/>
                    </w:rPr>
                  </w:pPr>
                  <w:r>
                    <w:rPr>
                      <w:color w:val="auto"/>
                      <w:sz w:val="18"/>
                      <w:szCs w:val="18"/>
                    </w:rPr>
                    <w:t>区域环境质量的整体变化情况</w:t>
                  </w:r>
                </w:p>
              </w:tc>
              <w:tc>
                <w:tcPr>
                  <w:tcW w:w="3754" w:type="dxa"/>
                  <w:gridSpan w:val="9"/>
                  <w:vAlign w:val="center"/>
                </w:tcPr>
                <w:p>
                  <w:pPr>
                    <w:pStyle w:val="224"/>
                    <w:rPr>
                      <w:color w:val="auto"/>
                      <w:sz w:val="18"/>
                      <w:szCs w:val="18"/>
                    </w:rPr>
                  </w:pPr>
                  <w:r>
                    <w:rPr>
                      <w:color w:val="auto"/>
                      <w:sz w:val="18"/>
                      <w:szCs w:val="18"/>
                    </w:rPr>
                    <w:t>k≤-20%</w:t>
                  </w:r>
                  <w:r>
                    <w:rPr>
                      <w:rFonts w:eastAsiaTheme="minorEastAsia"/>
                      <w:color w:val="auto"/>
                      <w:spacing w:val="34"/>
                      <w:sz w:val="18"/>
                      <w:szCs w:val="18"/>
                    </w:rPr>
                    <w:sym w:font="Wingdings 2" w:char="00A3"/>
                  </w:r>
                </w:p>
              </w:tc>
              <w:tc>
                <w:tcPr>
                  <w:tcW w:w="3168" w:type="dxa"/>
                  <w:gridSpan w:val="7"/>
                  <w:vAlign w:val="center"/>
                </w:tcPr>
                <w:p>
                  <w:pPr>
                    <w:pStyle w:val="224"/>
                    <w:rPr>
                      <w:color w:val="auto"/>
                      <w:sz w:val="18"/>
                      <w:szCs w:val="18"/>
                    </w:rPr>
                  </w:pPr>
                  <w:r>
                    <w:rPr>
                      <w:color w:val="auto"/>
                      <w:sz w:val="18"/>
                      <w:szCs w:val="18"/>
                    </w:rPr>
                    <w:t>k＞-20%</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6" w:hRule="atLeast"/>
                <w:jc w:val="center"/>
              </w:trPr>
              <w:tc>
                <w:tcPr>
                  <w:tcW w:w="908" w:type="dxa"/>
                  <w:vMerge w:val="restart"/>
                  <w:vAlign w:val="center"/>
                </w:tcPr>
                <w:p>
                  <w:pPr>
                    <w:pStyle w:val="224"/>
                    <w:rPr>
                      <w:color w:val="auto"/>
                      <w:sz w:val="18"/>
                      <w:szCs w:val="18"/>
                    </w:rPr>
                  </w:pPr>
                  <w:r>
                    <w:rPr>
                      <w:color w:val="auto"/>
                      <w:sz w:val="18"/>
                      <w:szCs w:val="18"/>
                    </w:rPr>
                    <w:t>环境监测计划</w:t>
                  </w:r>
                </w:p>
              </w:tc>
              <w:tc>
                <w:tcPr>
                  <w:tcW w:w="1160" w:type="dxa"/>
                  <w:vAlign w:val="center"/>
                </w:tcPr>
                <w:p>
                  <w:pPr>
                    <w:pStyle w:val="224"/>
                    <w:rPr>
                      <w:color w:val="auto"/>
                      <w:sz w:val="18"/>
                      <w:szCs w:val="18"/>
                    </w:rPr>
                  </w:pPr>
                  <w:r>
                    <w:rPr>
                      <w:color w:val="auto"/>
                      <w:sz w:val="18"/>
                      <w:szCs w:val="18"/>
                    </w:rPr>
                    <w:t>污染源监测</w:t>
                  </w:r>
                </w:p>
              </w:tc>
              <w:tc>
                <w:tcPr>
                  <w:tcW w:w="3153" w:type="dxa"/>
                  <w:gridSpan w:val="7"/>
                  <w:vAlign w:val="center"/>
                </w:tcPr>
                <w:p>
                  <w:pPr>
                    <w:pStyle w:val="224"/>
                    <w:rPr>
                      <w:color w:val="auto"/>
                      <w:sz w:val="18"/>
                      <w:szCs w:val="18"/>
                    </w:rPr>
                  </w:pPr>
                  <w:r>
                    <w:rPr>
                      <w:rFonts w:hint="eastAsia"/>
                      <w:color w:val="auto"/>
                      <w:sz w:val="18"/>
                      <w:szCs w:val="18"/>
                    </w:rPr>
                    <w:t>监测因子：（</w:t>
                  </w:r>
                  <w:r>
                    <w:rPr>
                      <w:color w:val="auto"/>
                      <w:sz w:val="18"/>
                      <w:szCs w:val="18"/>
                    </w:rPr>
                    <w:t>PM</w:t>
                  </w:r>
                  <w:r>
                    <w:rPr>
                      <w:color w:val="auto"/>
                      <w:sz w:val="18"/>
                      <w:szCs w:val="18"/>
                      <w:vertAlign w:val="subscript"/>
                    </w:rPr>
                    <w:t>10</w:t>
                  </w:r>
                  <w:r>
                    <w:rPr>
                      <w:rFonts w:hint="eastAsia"/>
                      <w:color w:val="auto"/>
                      <w:sz w:val="18"/>
                      <w:szCs w:val="18"/>
                    </w:rPr>
                    <w:t>）</w:t>
                  </w:r>
                </w:p>
              </w:tc>
              <w:tc>
                <w:tcPr>
                  <w:tcW w:w="2350" w:type="dxa"/>
                  <w:gridSpan w:val="6"/>
                  <w:vAlign w:val="center"/>
                </w:tcPr>
                <w:p>
                  <w:pPr>
                    <w:pStyle w:val="224"/>
                    <w:rPr>
                      <w:color w:val="auto"/>
                      <w:sz w:val="18"/>
                      <w:szCs w:val="18"/>
                    </w:rPr>
                  </w:pPr>
                  <w:r>
                    <w:rPr>
                      <w:rFonts w:hint="eastAsia"/>
                      <w:color w:val="auto"/>
                      <w:sz w:val="18"/>
                      <w:szCs w:val="18"/>
                    </w:rPr>
                    <w:t>有组织废气监测</w:t>
                  </w:r>
                  <w:r>
                    <w:rPr>
                      <w:rFonts w:eastAsiaTheme="minorEastAsia"/>
                      <w:color w:val="auto"/>
                      <w:spacing w:val="34"/>
                      <w:sz w:val="18"/>
                      <w:szCs w:val="18"/>
                    </w:rPr>
                    <w:sym w:font="Wingdings 2" w:char="0052"/>
                  </w:r>
                </w:p>
                <w:p>
                  <w:pPr>
                    <w:pStyle w:val="224"/>
                    <w:rPr>
                      <w:color w:val="auto"/>
                      <w:sz w:val="18"/>
                      <w:szCs w:val="18"/>
                    </w:rPr>
                  </w:pPr>
                  <w:r>
                    <w:rPr>
                      <w:rFonts w:hint="eastAsia"/>
                      <w:color w:val="auto"/>
                      <w:sz w:val="18"/>
                      <w:szCs w:val="18"/>
                    </w:rPr>
                    <w:t>无组织废气监测</w:t>
                  </w:r>
                  <w:r>
                    <w:rPr>
                      <w:rFonts w:eastAsiaTheme="minorEastAsia"/>
                      <w:color w:val="auto"/>
                      <w:spacing w:val="34"/>
                      <w:sz w:val="18"/>
                      <w:szCs w:val="18"/>
                    </w:rPr>
                    <w:sym w:font="Wingdings 2" w:char="0052"/>
                  </w:r>
                </w:p>
              </w:tc>
              <w:tc>
                <w:tcPr>
                  <w:tcW w:w="1419" w:type="dxa"/>
                  <w:gridSpan w:val="3"/>
                  <w:vAlign w:val="center"/>
                </w:tcPr>
                <w:p>
                  <w:pPr>
                    <w:pStyle w:val="224"/>
                    <w:rPr>
                      <w:color w:val="auto"/>
                      <w:sz w:val="18"/>
                      <w:szCs w:val="18"/>
                    </w:rPr>
                  </w:pPr>
                  <w:r>
                    <w:rPr>
                      <w:rFonts w:hint="eastAsia"/>
                      <w:color w:val="auto"/>
                      <w:sz w:val="18"/>
                      <w:szCs w:val="18"/>
                    </w:rPr>
                    <w:t>无监测</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snapToGrid w:val="0"/>
                    <w:rPr>
                      <w:color w:val="auto"/>
                      <w:sz w:val="18"/>
                      <w:szCs w:val="18"/>
                    </w:rPr>
                  </w:pPr>
                  <w:r>
                    <w:rPr>
                      <w:color w:val="auto"/>
                      <w:sz w:val="18"/>
                      <w:szCs w:val="18"/>
                    </w:rPr>
                    <w:t>环境质量监测</w:t>
                  </w:r>
                </w:p>
              </w:tc>
              <w:tc>
                <w:tcPr>
                  <w:tcW w:w="3153" w:type="dxa"/>
                  <w:gridSpan w:val="7"/>
                  <w:vAlign w:val="center"/>
                </w:tcPr>
                <w:p>
                  <w:pPr>
                    <w:pStyle w:val="224"/>
                    <w:rPr>
                      <w:color w:val="auto"/>
                      <w:sz w:val="18"/>
                      <w:szCs w:val="18"/>
                    </w:rPr>
                  </w:pPr>
                  <w:r>
                    <w:rPr>
                      <w:rFonts w:hint="eastAsia"/>
                      <w:color w:val="auto"/>
                      <w:sz w:val="18"/>
                      <w:szCs w:val="18"/>
                    </w:rPr>
                    <w:t>监测因子：（  /  ）</w:t>
                  </w:r>
                </w:p>
              </w:tc>
              <w:tc>
                <w:tcPr>
                  <w:tcW w:w="2350" w:type="dxa"/>
                  <w:gridSpan w:val="6"/>
                  <w:vAlign w:val="center"/>
                </w:tcPr>
                <w:p>
                  <w:pPr>
                    <w:pStyle w:val="224"/>
                    <w:rPr>
                      <w:color w:val="auto"/>
                      <w:sz w:val="18"/>
                      <w:szCs w:val="18"/>
                    </w:rPr>
                  </w:pPr>
                  <w:r>
                    <w:rPr>
                      <w:rFonts w:hint="eastAsia"/>
                      <w:color w:val="auto"/>
                      <w:sz w:val="18"/>
                      <w:szCs w:val="18"/>
                    </w:rPr>
                    <w:t>监测点位数（  /  ）</w:t>
                  </w:r>
                </w:p>
              </w:tc>
              <w:tc>
                <w:tcPr>
                  <w:tcW w:w="1419" w:type="dxa"/>
                  <w:gridSpan w:val="3"/>
                  <w:vAlign w:val="center"/>
                </w:tcPr>
                <w:p>
                  <w:pPr>
                    <w:pStyle w:val="224"/>
                    <w:rPr>
                      <w:color w:val="auto"/>
                      <w:sz w:val="18"/>
                      <w:szCs w:val="18"/>
                    </w:rPr>
                  </w:pPr>
                  <w:r>
                    <w:rPr>
                      <w:rFonts w:hint="eastAsia"/>
                      <w:color w:val="auto"/>
                      <w:sz w:val="18"/>
                      <w:szCs w:val="18"/>
                    </w:rPr>
                    <w:t>无监测</w:t>
                  </w:r>
                  <w:r>
                    <w:rPr>
                      <w:rFonts w:eastAsiaTheme="minorEastAsia"/>
                      <w:color w:val="auto"/>
                      <w:spacing w:val="34"/>
                      <w:sz w:val="18"/>
                      <w:szCs w:val="18"/>
                    </w:rPr>
                    <w:sym w:font="Wingdings 2" w:char="0052"/>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3" w:hRule="atLeast"/>
                <w:jc w:val="center"/>
              </w:trPr>
              <w:tc>
                <w:tcPr>
                  <w:tcW w:w="908" w:type="dxa"/>
                  <w:vMerge w:val="restart"/>
                  <w:vAlign w:val="center"/>
                </w:tcPr>
                <w:p>
                  <w:pPr>
                    <w:pStyle w:val="224"/>
                    <w:rPr>
                      <w:color w:val="auto"/>
                      <w:sz w:val="18"/>
                      <w:szCs w:val="18"/>
                    </w:rPr>
                  </w:pPr>
                  <w:r>
                    <w:rPr>
                      <w:color w:val="auto"/>
                      <w:sz w:val="18"/>
                      <w:szCs w:val="18"/>
                    </w:rPr>
                    <w:t>评价结论</w:t>
                  </w:r>
                </w:p>
              </w:tc>
              <w:tc>
                <w:tcPr>
                  <w:tcW w:w="1160" w:type="dxa"/>
                  <w:vAlign w:val="center"/>
                </w:tcPr>
                <w:p>
                  <w:pPr>
                    <w:pStyle w:val="224"/>
                    <w:snapToGrid w:val="0"/>
                    <w:rPr>
                      <w:color w:val="auto"/>
                      <w:sz w:val="18"/>
                      <w:szCs w:val="18"/>
                    </w:rPr>
                  </w:pPr>
                  <w:r>
                    <w:rPr>
                      <w:color w:val="auto"/>
                      <w:sz w:val="18"/>
                      <w:szCs w:val="18"/>
                    </w:rPr>
                    <w:t>环境影响</w:t>
                  </w:r>
                </w:p>
              </w:tc>
              <w:tc>
                <w:tcPr>
                  <w:tcW w:w="6922" w:type="dxa"/>
                  <w:gridSpan w:val="16"/>
                  <w:vAlign w:val="center"/>
                </w:tcPr>
                <w:p>
                  <w:pPr>
                    <w:pStyle w:val="224"/>
                    <w:rPr>
                      <w:rFonts w:eastAsiaTheme="minorEastAsia"/>
                      <w:color w:val="auto"/>
                      <w:sz w:val="18"/>
                      <w:szCs w:val="18"/>
                    </w:rPr>
                  </w:pPr>
                  <w:r>
                    <w:rPr>
                      <w:rFonts w:hint="eastAsia"/>
                      <w:color w:val="auto"/>
                      <w:sz w:val="18"/>
                      <w:szCs w:val="18"/>
                    </w:rPr>
                    <w:t>可以接受</w:t>
                  </w:r>
                  <w:r>
                    <w:rPr>
                      <w:rFonts w:eastAsiaTheme="minorEastAsia"/>
                      <w:color w:val="auto"/>
                      <w:spacing w:val="34"/>
                      <w:sz w:val="18"/>
                      <w:szCs w:val="18"/>
                    </w:rPr>
                    <w:sym w:font="Wingdings 2" w:char="0052"/>
                  </w:r>
                  <w:r>
                    <w:rPr>
                      <w:rFonts w:hint="eastAsia"/>
                      <w:color w:val="auto"/>
                      <w:sz w:val="18"/>
                      <w:szCs w:val="18"/>
                    </w:rPr>
                    <w:t>不可以接受</w:t>
                  </w:r>
                  <w:r>
                    <w:rPr>
                      <w:rFonts w:eastAsiaTheme="minorEastAsia"/>
                      <w:color w:val="auto"/>
                      <w:spacing w:val="34"/>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snapToGrid w:val="0"/>
                    <w:rPr>
                      <w:color w:val="auto"/>
                      <w:sz w:val="18"/>
                      <w:szCs w:val="18"/>
                    </w:rPr>
                  </w:pPr>
                  <w:r>
                    <w:rPr>
                      <w:color w:val="auto"/>
                      <w:sz w:val="18"/>
                      <w:szCs w:val="18"/>
                    </w:rPr>
                    <w:t>大气环境防护距离</w:t>
                  </w:r>
                </w:p>
              </w:tc>
              <w:tc>
                <w:tcPr>
                  <w:tcW w:w="6922" w:type="dxa"/>
                  <w:gridSpan w:val="16"/>
                  <w:vAlign w:val="center"/>
                </w:tcPr>
                <w:p>
                  <w:pPr>
                    <w:pStyle w:val="224"/>
                    <w:rPr>
                      <w:color w:val="auto"/>
                      <w:sz w:val="18"/>
                      <w:szCs w:val="18"/>
                    </w:rPr>
                  </w:pPr>
                  <w:r>
                    <w:rPr>
                      <w:rFonts w:hint="eastAsia"/>
                      <w:color w:val="auto"/>
                      <w:sz w:val="18"/>
                      <w:szCs w:val="18"/>
                    </w:rPr>
                    <w:t>距（ / ）厂界最远（ / ）m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6" w:hRule="atLeast"/>
                <w:jc w:val="center"/>
              </w:trPr>
              <w:tc>
                <w:tcPr>
                  <w:tcW w:w="908" w:type="dxa"/>
                  <w:vMerge w:val="continue"/>
                  <w:vAlign w:val="center"/>
                </w:tcPr>
                <w:p>
                  <w:pPr>
                    <w:pStyle w:val="224"/>
                    <w:rPr>
                      <w:color w:val="auto"/>
                      <w:sz w:val="18"/>
                      <w:szCs w:val="18"/>
                    </w:rPr>
                  </w:pPr>
                </w:p>
              </w:tc>
              <w:tc>
                <w:tcPr>
                  <w:tcW w:w="1160" w:type="dxa"/>
                  <w:vAlign w:val="center"/>
                </w:tcPr>
                <w:p>
                  <w:pPr>
                    <w:pStyle w:val="224"/>
                    <w:snapToGrid w:val="0"/>
                    <w:rPr>
                      <w:color w:val="auto"/>
                      <w:sz w:val="18"/>
                      <w:szCs w:val="18"/>
                    </w:rPr>
                  </w:pPr>
                  <w:r>
                    <w:rPr>
                      <w:color w:val="auto"/>
                      <w:sz w:val="18"/>
                      <w:szCs w:val="18"/>
                    </w:rPr>
                    <w:t>污染源年排放量</w:t>
                  </w:r>
                </w:p>
              </w:tc>
              <w:tc>
                <w:tcPr>
                  <w:tcW w:w="1675" w:type="dxa"/>
                  <w:gridSpan w:val="2"/>
                  <w:vAlign w:val="center"/>
                </w:tcPr>
                <w:p>
                  <w:pPr>
                    <w:pStyle w:val="224"/>
                    <w:rPr>
                      <w:color w:val="auto"/>
                      <w:sz w:val="18"/>
                      <w:szCs w:val="18"/>
                    </w:rPr>
                  </w:pPr>
                </w:p>
              </w:tc>
              <w:tc>
                <w:tcPr>
                  <w:tcW w:w="1779" w:type="dxa"/>
                  <w:gridSpan w:val="6"/>
                  <w:vAlign w:val="center"/>
                </w:tcPr>
                <w:p>
                  <w:pPr>
                    <w:pStyle w:val="224"/>
                    <w:rPr>
                      <w:color w:val="auto"/>
                      <w:sz w:val="18"/>
                      <w:szCs w:val="18"/>
                    </w:rPr>
                  </w:pPr>
                </w:p>
              </w:tc>
              <w:tc>
                <w:tcPr>
                  <w:tcW w:w="2049" w:type="dxa"/>
                  <w:gridSpan w:val="5"/>
                  <w:vAlign w:val="center"/>
                </w:tcPr>
                <w:p>
                  <w:pPr>
                    <w:pStyle w:val="224"/>
                    <w:rPr>
                      <w:color w:val="auto"/>
                      <w:sz w:val="18"/>
                      <w:szCs w:val="18"/>
                    </w:rPr>
                  </w:pPr>
                  <w:r>
                    <w:rPr>
                      <w:rFonts w:hint="eastAsia"/>
                      <w:color w:val="auto"/>
                      <w:sz w:val="18"/>
                      <w:szCs w:val="18"/>
                    </w:rPr>
                    <w:t>颗粒物：（</w:t>
                  </w:r>
                  <w:r>
                    <w:rPr>
                      <w:color w:val="auto"/>
                      <w:sz w:val="18"/>
                      <w:szCs w:val="18"/>
                    </w:rPr>
                    <w:t>0.75</w:t>
                  </w:r>
                  <w:r>
                    <w:rPr>
                      <w:rFonts w:hint="eastAsia"/>
                      <w:color w:val="auto"/>
                      <w:sz w:val="18"/>
                      <w:szCs w:val="18"/>
                    </w:rPr>
                    <w:t>）t/a</w:t>
                  </w:r>
                </w:p>
              </w:tc>
              <w:tc>
                <w:tcPr>
                  <w:tcW w:w="1419" w:type="dxa"/>
                  <w:gridSpan w:val="3"/>
                  <w:vAlign w:val="center"/>
                </w:tcPr>
                <w:p>
                  <w:pPr>
                    <w:pStyle w:val="224"/>
                    <w:rPr>
                      <w:color w:val="auto"/>
                      <w:sz w:val="18"/>
                      <w:szCs w:val="18"/>
                    </w:rPr>
                  </w:pPr>
                  <w:r>
                    <w:rPr>
                      <w:rFonts w:hint="eastAsia"/>
                      <w:color w:val="auto"/>
                      <w:sz w:val="18"/>
                      <w:szCs w:val="18"/>
                    </w:rPr>
                    <w:t>VOCs：（/）t/a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1" w:hRule="atLeast"/>
                <w:jc w:val="center"/>
              </w:trPr>
              <w:tc>
                <w:tcPr>
                  <w:tcW w:w="8990" w:type="dxa"/>
                  <w:gridSpan w:val="18"/>
                  <w:vAlign w:val="center"/>
                </w:tcPr>
                <w:p>
                  <w:pPr>
                    <w:pStyle w:val="224"/>
                    <w:jc w:val="left"/>
                    <w:rPr>
                      <w:color w:val="auto"/>
                      <w:sz w:val="18"/>
                      <w:szCs w:val="18"/>
                    </w:rPr>
                  </w:pPr>
                  <w:r>
                    <w:rPr>
                      <w:color w:val="auto"/>
                      <w:sz w:val="18"/>
                      <w:szCs w:val="18"/>
                    </w:rPr>
                    <w:t>注：“</w:t>
                  </w:r>
                  <w:r>
                    <w:rPr>
                      <w:rFonts w:eastAsiaTheme="minorEastAsia"/>
                      <w:color w:val="auto"/>
                      <w:spacing w:val="34"/>
                      <w:sz w:val="18"/>
                      <w:szCs w:val="18"/>
                    </w:rPr>
                    <w:sym w:font="Wingdings 2" w:char="00A3"/>
                  </w:r>
                  <w:r>
                    <w:rPr>
                      <w:color w:val="auto"/>
                      <w:sz w:val="18"/>
                      <w:szCs w:val="18"/>
                    </w:rPr>
                    <w:t>”为勾选项，填“√”；“（）”为内容</w:t>
                  </w:r>
                  <w:r>
                    <w:rPr>
                      <w:rFonts w:hint="eastAsia"/>
                      <w:color w:val="auto"/>
                      <w:sz w:val="18"/>
                      <w:szCs w:val="18"/>
                    </w:rPr>
                    <w:t>填写</w:t>
                  </w:r>
                  <w:r>
                    <w:rPr>
                      <w:color w:val="auto"/>
                      <w:sz w:val="18"/>
                      <w:szCs w:val="18"/>
                    </w:rPr>
                    <w:t>项</w:t>
                  </w:r>
                </w:p>
              </w:tc>
            </w:tr>
          </w:tbl>
          <w:p>
            <w:pPr>
              <w:spacing w:line="360" w:lineRule="auto"/>
              <w:ind w:firstLine="482" w:firstLineChars="200"/>
              <w:rPr>
                <w:b/>
                <w:bCs/>
                <w:color w:val="auto"/>
                <w:sz w:val="24"/>
              </w:rPr>
            </w:pPr>
            <w:bookmarkStart w:id="71" w:name="_Toc343665622"/>
            <w:bookmarkStart w:id="72" w:name="_Toc319526752"/>
            <w:bookmarkStart w:id="73" w:name="_Toc343664438"/>
            <w:r>
              <w:rPr>
                <w:rFonts w:hint="eastAsia"/>
                <w:b/>
                <w:bCs/>
                <w:color w:val="auto"/>
                <w:sz w:val="24"/>
              </w:rPr>
              <w:t>（2）</w:t>
            </w:r>
            <w:r>
              <w:rPr>
                <w:b/>
                <w:bCs/>
                <w:color w:val="auto"/>
                <w:sz w:val="24"/>
              </w:rPr>
              <w:t>环境空气影响分析</w:t>
            </w:r>
            <w:bookmarkEnd w:id="71"/>
            <w:bookmarkEnd w:id="72"/>
            <w:bookmarkEnd w:id="73"/>
          </w:p>
          <w:p>
            <w:pPr>
              <w:autoSpaceDE w:val="0"/>
              <w:autoSpaceDN w:val="0"/>
              <w:adjustRightInd w:val="0"/>
              <w:snapToGrid w:val="0"/>
              <w:spacing w:line="500" w:lineRule="exact"/>
              <w:ind w:firstLine="480" w:firstLineChars="200"/>
              <w:textAlignment w:val="baseline"/>
              <w:rPr>
                <w:color w:val="auto"/>
                <w:sz w:val="24"/>
              </w:rPr>
            </w:pPr>
            <w:bookmarkStart w:id="74" w:name="_Toc477702084"/>
            <w:r>
              <w:rPr>
                <w:color w:val="auto"/>
                <w:sz w:val="24"/>
              </w:rPr>
              <w:t>（1）生产废气</w:t>
            </w:r>
          </w:p>
          <w:p>
            <w:pPr>
              <w:autoSpaceDE w:val="0"/>
              <w:autoSpaceDN w:val="0"/>
              <w:adjustRightInd w:val="0"/>
              <w:snapToGrid w:val="0"/>
              <w:spacing w:line="500" w:lineRule="exact"/>
              <w:ind w:firstLine="480" w:firstLineChars="200"/>
              <w:textAlignment w:val="baseline"/>
              <w:rPr>
                <w:color w:val="auto"/>
                <w:sz w:val="24"/>
              </w:rPr>
            </w:pPr>
            <w:r>
              <w:rPr>
                <w:color w:val="auto"/>
                <w:sz w:val="24"/>
              </w:rPr>
              <w:t>本项目生产过程产生的大气污染物主要为粉尘，主要来源于：沙的装卸扬尘量；沙石计量投料粉尘</w:t>
            </w:r>
            <w:r>
              <w:rPr>
                <w:rFonts w:hint="eastAsia"/>
                <w:color w:val="auto"/>
                <w:sz w:val="24"/>
              </w:rPr>
              <w:t>；</w:t>
            </w:r>
            <w:r>
              <w:rPr>
                <w:color w:val="auto"/>
                <w:sz w:val="24"/>
              </w:rPr>
              <w:t>筒仓投料粉尘；运输车辆动力起尘；搅拌系统产生的粉尘</w:t>
            </w:r>
            <w:r>
              <w:rPr>
                <w:rFonts w:hint="eastAsia"/>
                <w:color w:val="auto"/>
                <w:sz w:val="24"/>
              </w:rPr>
              <w:t>；</w:t>
            </w:r>
            <w:r>
              <w:rPr>
                <w:color w:val="auto"/>
                <w:sz w:val="24"/>
              </w:rPr>
              <w:t>制砂生产线产生粉尘。</w:t>
            </w:r>
          </w:p>
          <w:p>
            <w:pPr>
              <w:autoSpaceDE w:val="0"/>
              <w:autoSpaceDN w:val="0"/>
              <w:adjustRightInd w:val="0"/>
              <w:snapToGrid w:val="0"/>
              <w:spacing w:line="500" w:lineRule="exact"/>
              <w:ind w:firstLine="480" w:firstLineChars="200"/>
              <w:textAlignment w:val="baseline"/>
              <w:rPr>
                <w:color w:val="auto"/>
                <w:sz w:val="24"/>
              </w:rPr>
            </w:pPr>
            <w:r>
              <w:rPr>
                <w:color w:val="auto"/>
                <w:sz w:val="24"/>
              </w:rPr>
              <w:fldChar w:fldCharType="begin"/>
            </w:r>
            <w:r>
              <w:rPr>
                <w:rFonts w:hint="eastAsia"/>
                <w:color w:val="auto"/>
                <w:sz w:val="24"/>
              </w:rPr>
              <w:instrText xml:space="preserve">= 1 \* GB3</w:instrText>
            </w:r>
            <w:r>
              <w:rPr>
                <w:color w:val="auto"/>
                <w:sz w:val="24"/>
              </w:rPr>
              <w:fldChar w:fldCharType="separate"/>
            </w:r>
            <w:r>
              <w:rPr>
                <w:rFonts w:hint="eastAsia"/>
                <w:color w:val="auto"/>
                <w:sz w:val="24"/>
              </w:rPr>
              <w:t>①</w:t>
            </w:r>
            <w:r>
              <w:rPr>
                <w:color w:val="auto"/>
                <w:sz w:val="24"/>
              </w:rPr>
              <w:fldChar w:fldCharType="end"/>
            </w:r>
            <w:r>
              <w:rPr>
                <w:color w:val="auto"/>
                <w:sz w:val="24"/>
              </w:rPr>
              <w:t>由工程分析内容可知，项目筒仓投料粉尘中水泥、粉煤灰筒</w:t>
            </w:r>
            <w:r>
              <w:rPr>
                <w:rFonts w:hint="eastAsia"/>
                <w:color w:val="auto"/>
                <w:sz w:val="24"/>
              </w:rPr>
              <w:t>仓</w:t>
            </w:r>
            <w:r>
              <w:rPr>
                <w:color w:val="auto"/>
                <w:sz w:val="24"/>
              </w:rPr>
              <w:t>粉尘经脉冲滤芯除尘器处理后，粉尘有组织排放浓度为4.54mg/m</w:t>
            </w:r>
            <w:r>
              <w:rPr>
                <w:color w:val="auto"/>
                <w:sz w:val="24"/>
                <w:vertAlign w:val="superscript"/>
              </w:rPr>
              <w:t>3</w:t>
            </w:r>
            <w:r>
              <w:rPr>
                <w:color w:val="auto"/>
                <w:sz w:val="24"/>
              </w:rPr>
              <w:t>，可以满足《水泥工业大气污染物排放标准》（GB4915-2013）表2中水泥制品生产的颗粒物浓度10mg/m</w:t>
            </w:r>
            <w:r>
              <w:rPr>
                <w:color w:val="auto"/>
                <w:sz w:val="24"/>
                <w:vertAlign w:val="superscript"/>
              </w:rPr>
              <w:t>3</w:t>
            </w:r>
            <w:r>
              <w:rPr>
                <w:color w:val="auto"/>
                <w:sz w:val="24"/>
              </w:rPr>
              <w:t>的要求。</w:t>
            </w:r>
            <w:r>
              <w:rPr>
                <w:rFonts w:hint="eastAsia"/>
                <w:color w:val="auto"/>
                <w:sz w:val="24"/>
              </w:rPr>
              <w:t>项目制砂生产线产生粉尘经脉冲式布袋降尘器处理后，粉尘有组织排放浓度为</w:t>
            </w:r>
            <w:r>
              <w:rPr>
                <w:color w:val="auto"/>
                <w:sz w:val="24"/>
              </w:rPr>
              <w:t>2.34</w:t>
            </w:r>
            <w:r>
              <w:rPr>
                <w:rFonts w:hint="eastAsia"/>
                <w:color w:val="auto"/>
                <w:sz w:val="24"/>
              </w:rPr>
              <w:t>mg/m3，满足《大气污染物排放限值》（DB44/27-2001）第二时段二级标准120mg/m3要求。</w:t>
            </w:r>
          </w:p>
          <w:p>
            <w:pPr>
              <w:autoSpaceDE w:val="0"/>
              <w:autoSpaceDN w:val="0"/>
              <w:adjustRightInd w:val="0"/>
              <w:snapToGrid w:val="0"/>
              <w:spacing w:line="500" w:lineRule="exact"/>
              <w:ind w:firstLine="480" w:firstLineChars="200"/>
              <w:textAlignment w:val="baseline"/>
              <w:rPr>
                <w:color w:val="auto"/>
                <w:sz w:val="24"/>
              </w:rPr>
            </w:pPr>
            <w:r>
              <w:rPr>
                <w:color w:val="auto"/>
                <w:sz w:val="24"/>
              </w:rPr>
              <w:fldChar w:fldCharType="begin"/>
            </w:r>
            <w:r>
              <w:rPr>
                <w:rFonts w:hint="eastAsia"/>
                <w:color w:val="auto"/>
                <w:sz w:val="24"/>
              </w:rPr>
              <w:instrText xml:space="preserve">= 2 \* GB3</w:instrText>
            </w:r>
            <w:r>
              <w:rPr>
                <w:color w:val="auto"/>
                <w:sz w:val="24"/>
              </w:rPr>
              <w:fldChar w:fldCharType="separate"/>
            </w:r>
            <w:r>
              <w:rPr>
                <w:rFonts w:hint="eastAsia"/>
                <w:color w:val="auto"/>
                <w:sz w:val="24"/>
              </w:rPr>
              <w:t>②</w:t>
            </w:r>
            <w:r>
              <w:rPr>
                <w:color w:val="auto"/>
                <w:sz w:val="24"/>
              </w:rPr>
              <w:fldChar w:fldCharType="end"/>
            </w:r>
            <w:r>
              <w:rPr>
                <w:color w:val="auto"/>
                <w:sz w:val="24"/>
              </w:rPr>
              <w:t>沙</w:t>
            </w:r>
            <w:r>
              <w:rPr>
                <w:rFonts w:hint="eastAsia"/>
                <w:color w:val="auto"/>
                <w:sz w:val="24"/>
              </w:rPr>
              <w:t>、</w:t>
            </w:r>
            <w:r>
              <w:rPr>
                <w:color w:val="auto"/>
                <w:sz w:val="24"/>
              </w:rPr>
              <w:t>石的装卸扬尘量</w:t>
            </w:r>
            <w:r>
              <w:rPr>
                <w:rFonts w:hint="eastAsia"/>
                <w:color w:val="auto"/>
                <w:sz w:val="24"/>
              </w:rPr>
              <w:t>。</w:t>
            </w:r>
            <w:r>
              <w:rPr>
                <w:color w:val="auto"/>
                <w:spacing w:val="-2"/>
                <w:sz w:val="24"/>
              </w:rPr>
              <w:t>项目料场采用半封闭封装，在场内顶部以及材料周围装置喷淋洒水装置，定期对原料堆场表层洒水，使物料表层含水率达10%以上，其抑尘效率可达到88%以上，且砂在吸收水分后，增加了其自身重量，经重力沉降比例较大，多沉降在厂区范围内。因此，在采取上述措施后，装卸料过程产生的扬尘量为0.18t/a。</w:t>
            </w:r>
          </w:p>
          <w:p>
            <w:pPr>
              <w:autoSpaceDE w:val="0"/>
              <w:autoSpaceDN w:val="0"/>
              <w:adjustRightInd w:val="0"/>
              <w:snapToGrid w:val="0"/>
              <w:spacing w:line="500" w:lineRule="exact"/>
              <w:ind w:firstLine="480" w:firstLineChars="200"/>
              <w:jc w:val="left"/>
              <w:textAlignment w:val="baseline"/>
              <w:rPr>
                <w:color w:val="auto"/>
                <w:sz w:val="24"/>
              </w:rPr>
            </w:pPr>
            <w:r>
              <w:rPr>
                <w:color w:val="auto"/>
                <w:sz w:val="24"/>
              </w:rPr>
              <w:fldChar w:fldCharType="begin"/>
            </w:r>
            <w:r>
              <w:rPr>
                <w:rFonts w:hint="eastAsia"/>
                <w:color w:val="auto"/>
                <w:sz w:val="24"/>
              </w:rPr>
              <w:instrText xml:space="preserve">= 3 \* GB3</w:instrText>
            </w:r>
            <w:r>
              <w:rPr>
                <w:color w:val="auto"/>
                <w:sz w:val="24"/>
              </w:rPr>
              <w:fldChar w:fldCharType="separate"/>
            </w:r>
            <w:r>
              <w:rPr>
                <w:rFonts w:hint="eastAsia"/>
                <w:color w:val="auto"/>
                <w:sz w:val="24"/>
              </w:rPr>
              <w:t>③</w:t>
            </w:r>
            <w:r>
              <w:rPr>
                <w:color w:val="auto"/>
                <w:sz w:val="24"/>
              </w:rPr>
              <w:fldChar w:fldCharType="end"/>
            </w:r>
            <w:r>
              <w:rPr>
                <w:color w:val="auto"/>
                <w:sz w:val="24"/>
              </w:rPr>
              <w:t>沙石计</w:t>
            </w:r>
            <w:r>
              <w:rPr>
                <w:rFonts w:hint="eastAsia"/>
                <w:color w:val="auto"/>
                <w:sz w:val="24"/>
              </w:rPr>
              <w:t>量</w:t>
            </w:r>
            <w:r>
              <w:rPr>
                <w:color w:val="auto"/>
                <w:sz w:val="24"/>
              </w:rPr>
              <w:t>投料粉尘</w:t>
            </w:r>
            <w:r>
              <w:rPr>
                <w:rFonts w:hint="eastAsia"/>
                <w:color w:val="auto"/>
                <w:sz w:val="24"/>
              </w:rPr>
              <w:t>。</w:t>
            </w:r>
            <w:r>
              <w:rPr>
                <w:color w:val="auto"/>
                <w:sz w:val="24"/>
              </w:rPr>
              <w:t>沙子和石子使用时由铲车将原料由堆放场运至料斗内，料斗下设有一个落料口，落料口下设有斗车和计量装置，原料由料斗向斗车内落料时，会产生一定量的粉尘，类比同类项目，落料时粉尘散逸量约为原料总量的0.0005‰，本项目年使用沙子和石子共200000t，粉尘散逸量为0.1t/a。</w:t>
            </w:r>
          </w:p>
          <w:p>
            <w:pPr>
              <w:autoSpaceDE w:val="0"/>
              <w:autoSpaceDN w:val="0"/>
              <w:adjustRightInd w:val="0"/>
              <w:snapToGrid w:val="0"/>
              <w:spacing w:line="500" w:lineRule="exact"/>
              <w:ind w:firstLine="480" w:firstLineChars="200"/>
              <w:textAlignment w:val="baseline"/>
              <w:rPr>
                <w:color w:val="auto"/>
                <w:sz w:val="24"/>
              </w:rPr>
            </w:pPr>
            <w:r>
              <w:rPr>
                <w:color w:val="auto"/>
                <w:sz w:val="24"/>
              </w:rPr>
              <w:t>项目在装卸料点上方以及料斗上方均设置水雾喷淋装置，可有效降低装卸起尘量，除尘效率按照60%计算，即0.04/a，属无组织排放。</w:t>
            </w:r>
          </w:p>
          <w:p>
            <w:pPr>
              <w:autoSpaceDE w:val="0"/>
              <w:autoSpaceDN w:val="0"/>
              <w:adjustRightInd w:val="0"/>
              <w:snapToGrid w:val="0"/>
              <w:spacing w:line="500" w:lineRule="exact"/>
              <w:ind w:firstLine="480" w:firstLineChars="200"/>
              <w:textAlignment w:val="baseline"/>
              <w:rPr>
                <w:color w:val="auto"/>
                <w:sz w:val="24"/>
              </w:rPr>
            </w:pPr>
            <w:r>
              <w:rPr>
                <w:color w:val="auto"/>
                <w:sz w:val="24"/>
              </w:rPr>
              <w:fldChar w:fldCharType="begin"/>
            </w:r>
            <w:r>
              <w:rPr>
                <w:rFonts w:hint="eastAsia"/>
                <w:color w:val="auto"/>
                <w:sz w:val="24"/>
              </w:rPr>
              <w:instrText xml:space="preserve">= 4 \* GB3</w:instrText>
            </w:r>
            <w:r>
              <w:rPr>
                <w:color w:val="auto"/>
                <w:sz w:val="24"/>
              </w:rPr>
              <w:fldChar w:fldCharType="separate"/>
            </w:r>
            <w:r>
              <w:rPr>
                <w:rFonts w:hint="eastAsia"/>
                <w:color w:val="auto"/>
                <w:sz w:val="24"/>
              </w:rPr>
              <w:t>④</w:t>
            </w:r>
            <w:r>
              <w:rPr>
                <w:color w:val="auto"/>
                <w:sz w:val="24"/>
              </w:rPr>
              <w:fldChar w:fldCharType="end"/>
            </w:r>
            <w:r>
              <w:rPr>
                <w:color w:val="auto"/>
                <w:sz w:val="24"/>
              </w:rPr>
              <w:t>搅拌系统产生的粉</w:t>
            </w:r>
            <w:r>
              <w:rPr>
                <w:rFonts w:hint="eastAsia"/>
                <w:color w:val="auto"/>
                <w:sz w:val="24"/>
              </w:rPr>
              <w:t>尘。</w:t>
            </w:r>
            <w:r>
              <w:rPr>
                <w:color w:val="auto"/>
                <w:sz w:val="24"/>
              </w:rPr>
              <w:t>本项目搅拌机拌料时需加水搅拌，由于物料含水率较高，搅拌过程中粉尘产生量不大，搅拌机粉尘主要产生在粉状原料下料至搅拌机的过程中，搅拌机下料粉尘产生系数为0.4kg/t 物料，项目搅拌机粉状原料下料量为18d</w:t>
            </w:r>
            <w:r>
              <w:rPr>
                <w:rFonts w:hint="eastAsia"/>
                <w:color w:val="auto"/>
                <w:sz w:val="24"/>
              </w:rPr>
              <w:t>万</w:t>
            </w:r>
            <w:r>
              <w:rPr>
                <w:color w:val="auto"/>
                <w:sz w:val="24"/>
              </w:rPr>
              <w:t>t/a，则下料粉尘产生量为72t/a，项目1套搅拌机配备有1套</w:t>
            </w:r>
            <w:r>
              <w:rPr>
                <w:rFonts w:hint="eastAsia"/>
                <w:color w:val="auto"/>
                <w:sz w:val="24"/>
              </w:rPr>
              <w:t>脉冲</w:t>
            </w:r>
            <w:r>
              <w:rPr>
                <w:color w:val="auto"/>
                <w:sz w:val="24"/>
              </w:rPr>
              <w:t>袋式除尘器，除尘效率为99.9%，则除尘器收集的粉尘量为71.93t/a，这部分粉尘经卸料阀重新进入搅拌机用于生产；剩余0.07t/a 的粉尘经除尘器排气孔无组织排放。</w:t>
            </w:r>
          </w:p>
          <w:p>
            <w:pPr>
              <w:spacing w:line="360" w:lineRule="auto"/>
              <w:ind w:firstLine="420" w:firstLineChars="200"/>
              <w:rPr>
                <w:color w:val="auto"/>
                <w:sz w:val="24"/>
                <w:szCs w:val="20"/>
              </w:rPr>
            </w:pPr>
            <w:r>
              <w:rPr>
                <w:color w:val="auto"/>
              </w:rPr>
              <w:fldChar w:fldCharType="begin"/>
            </w:r>
            <w:r>
              <w:rPr>
                <w:color w:val="auto"/>
              </w:rPr>
              <w:instrText xml:space="preserve"> HYPERLINK "https://baike.baidu.com/item/%E8%84%89%E5%86%B2%E9%99%A4%E5%B0%98%E5%99%A8" \t "_blank" </w:instrText>
            </w:r>
            <w:r>
              <w:rPr>
                <w:color w:val="auto"/>
              </w:rPr>
              <w:fldChar w:fldCharType="separate"/>
            </w:r>
            <w:r>
              <w:rPr>
                <w:color w:val="auto"/>
                <w:sz w:val="24"/>
                <w:szCs w:val="20"/>
              </w:rPr>
              <w:t>脉冲袋式除尘器</w:t>
            </w:r>
            <w:r>
              <w:rPr>
                <w:color w:val="auto"/>
                <w:sz w:val="24"/>
                <w:szCs w:val="20"/>
              </w:rPr>
              <w:fldChar w:fldCharType="end"/>
            </w:r>
            <w:r>
              <w:rPr>
                <w:color w:val="auto"/>
                <w:sz w:val="24"/>
                <w:szCs w:val="20"/>
              </w:rPr>
              <w:t>是指通过喷吹压缩空气的方法除掉过滤介质（布袋或滤筒）上附着的粉尘；根据除尘器的大小可能有几组脉冲阀，由脉冲控制仪或PLC控制，每次开一组脉冲阀来除去它所控制的那部分布袋或滤筒的灰尘，而其他的布袋或滤筒正常工作，隔一段时间后下一组脉冲阀打开，清理下一部分除尘器由灰斗、上箱体、中箱体、下箱体等部分组成，上、中、下箱体为分室结构。工作时，含尘气体由进风道进入灰斗，粗尘粒直接落入灰斗底部，细尘粒随气流转折向上进入中、下箱体，粉尘积附在滤袋外表面，过滤后的气体进入上箱体至净气集合管-排风道，经排风机排至大气。清灰过程是先切断该室的净气出口风道，使该室的布袋处于无气流通过的状态(分室停风清灰)。然后开启脉冲阀用压缩空气进行脉冲喷吹清灰，切断阀关闭时间足以保证在喷吹后从滤袋上剥离的粉尘沉降至灰斗，避免了粉尘在脱离滤袋表面后又随气流附集到相邻滤袋表面的现象，使滤袋清灰彻底，并由可编程序控制仪对排气阀、脉冲阀及卸灰阀等进行全自动控制。含尘气体由进风口进入，经过灰斗时，气体中部分大颗粒粉尘受惯性力和重力作用被分离出来，直接落入灰斗底部。含尘气体通过灰斗后进入中箱体的滤袋过滤区，气体穿过滤袋，粉尘被阻留在滤袋外表面，净化后的气体经滤袋口进入上箱体后，再由出风口排出。</w:t>
            </w:r>
          </w:p>
          <w:p>
            <w:pPr>
              <w:autoSpaceDE w:val="0"/>
              <w:autoSpaceDN w:val="0"/>
              <w:adjustRightInd w:val="0"/>
              <w:snapToGrid w:val="0"/>
              <w:spacing w:line="500" w:lineRule="exact"/>
              <w:ind w:firstLine="480" w:firstLineChars="200"/>
              <w:textAlignment w:val="baseline"/>
              <w:rPr>
                <w:color w:val="auto"/>
                <w:sz w:val="24"/>
              </w:rPr>
            </w:pPr>
            <w:r>
              <w:rPr>
                <w:rFonts w:hint="eastAsia" w:ascii="宋体" w:hAnsi="宋体" w:cs="宋体"/>
                <w:color w:val="auto"/>
                <w:sz w:val="24"/>
              </w:rPr>
              <w:t>⑤</w:t>
            </w:r>
            <w:r>
              <w:rPr>
                <w:color w:val="auto"/>
                <w:sz w:val="24"/>
              </w:rPr>
              <w:t>运输车辆动力起尘均以无组织形式排放。项目</w:t>
            </w:r>
            <w:r>
              <w:rPr>
                <w:rFonts w:hint="eastAsia"/>
                <w:color w:val="auto"/>
                <w:sz w:val="24"/>
              </w:rPr>
              <w:t>拟</w:t>
            </w:r>
            <w:r>
              <w:rPr>
                <w:color w:val="auto"/>
                <w:sz w:val="24"/>
              </w:rPr>
              <w:t>对厂区运输道路进行硬化，同时场区配置有除尘雾泡机抑尘</w:t>
            </w:r>
            <w:r>
              <w:rPr>
                <w:color w:val="auto"/>
                <w:sz w:val="22"/>
                <w:szCs w:val="22"/>
              </w:rPr>
              <w:t>。</w:t>
            </w:r>
            <w:r>
              <w:rPr>
                <w:color w:val="auto"/>
                <w:sz w:val="24"/>
              </w:rPr>
              <w:t>对道路路况以 0.2kg/m</w:t>
            </w:r>
            <w:r>
              <w:rPr>
                <w:color w:val="auto"/>
                <w:sz w:val="24"/>
                <w:vertAlign w:val="superscript"/>
              </w:rPr>
              <w:t>2</w:t>
            </w:r>
            <w:r>
              <w:rPr>
                <w:color w:val="auto"/>
                <w:sz w:val="24"/>
              </w:rPr>
              <w:t>计，则项目汽车动力起尘量为0.36t/a。本次评价要求项目对厂区内地面进行定期撒水、清扫，以减少道路扬尘的产生，经采取降尘措施后，汽车动力起尘量会减少85%，则项目汽车扬尘会减少至0.05t/a。</w:t>
            </w:r>
          </w:p>
          <w:p>
            <w:pPr>
              <w:spacing w:line="500" w:lineRule="exact"/>
              <w:ind w:firstLine="464"/>
              <w:rPr>
                <w:bCs/>
                <w:color w:val="auto"/>
                <w:sz w:val="24"/>
              </w:rPr>
            </w:pPr>
            <w:r>
              <w:rPr>
                <w:rFonts w:hint="eastAsia"/>
                <w:bCs/>
                <w:color w:val="auto"/>
                <w:sz w:val="24"/>
              </w:rPr>
              <w:t>（</w:t>
            </w:r>
            <w:r>
              <w:rPr>
                <w:bCs/>
                <w:color w:val="auto"/>
                <w:sz w:val="24"/>
              </w:rPr>
              <w:t>2</w:t>
            </w:r>
            <w:r>
              <w:rPr>
                <w:rFonts w:hint="eastAsia"/>
                <w:bCs/>
                <w:color w:val="auto"/>
                <w:sz w:val="24"/>
              </w:rPr>
              <w:t>）</w:t>
            </w:r>
            <w:r>
              <w:rPr>
                <w:bCs/>
                <w:color w:val="auto"/>
                <w:sz w:val="24"/>
              </w:rPr>
              <w:t>备用发电机</w:t>
            </w:r>
          </w:p>
          <w:p>
            <w:pPr>
              <w:autoSpaceDE w:val="0"/>
              <w:autoSpaceDN w:val="0"/>
              <w:adjustRightInd w:val="0"/>
              <w:snapToGrid w:val="0"/>
              <w:spacing w:line="500" w:lineRule="exact"/>
              <w:ind w:firstLine="480" w:firstLineChars="200"/>
              <w:textAlignment w:val="baseline"/>
              <w:rPr>
                <w:color w:val="auto"/>
                <w:sz w:val="24"/>
              </w:rPr>
            </w:pPr>
            <w:r>
              <w:rPr>
                <w:rFonts w:hint="eastAsia"/>
                <w:bCs/>
                <w:color w:val="auto"/>
                <w:sz w:val="24"/>
              </w:rPr>
              <w:t>本项目设置1台备用柴油发电机组，其功率均400kW。发电机使用的发电燃料为0#柴油，含硫量</w:t>
            </w:r>
            <w:r>
              <w:rPr>
                <w:rFonts w:hint="eastAsia"/>
                <w:color w:val="auto"/>
                <w:sz w:val="24"/>
              </w:rPr>
              <w:t>按0.035%计算，年运行时间为22小时。项目备用发电机产生的SO2、CO、NOX、烟尘经碱喷淋装置处理后高空排放，符合《大气污染物排放限值》（DB44/27-2001）中第二时段二级标准的要求，对周围空气环境的影响较小，且备用发电机只在停电或消防情况下用作应急电源，平时没有运作，因此产生的污染物对大气的环境影响可</w:t>
            </w:r>
            <w:r>
              <w:rPr>
                <w:color w:val="auto"/>
                <w:sz w:val="24"/>
              </w:rPr>
              <w:t>以接受</w:t>
            </w:r>
            <w:r>
              <w:rPr>
                <w:rFonts w:hint="eastAsia"/>
                <w:color w:val="auto"/>
                <w:sz w:val="24"/>
              </w:rPr>
              <w:t>。</w:t>
            </w:r>
          </w:p>
          <w:p>
            <w:pPr>
              <w:autoSpaceDE w:val="0"/>
              <w:autoSpaceDN w:val="0"/>
              <w:adjustRightInd w:val="0"/>
              <w:snapToGrid w:val="0"/>
              <w:spacing w:line="500" w:lineRule="exact"/>
              <w:ind w:firstLine="480" w:firstLineChars="200"/>
              <w:textAlignment w:val="baseline"/>
              <w:rPr>
                <w:color w:val="auto"/>
                <w:sz w:val="24"/>
              </w:rPr>
            </w:pPr>
            <w:r>
              <w:rPr>
                <w:rFonts w:hint="eastAsia"/>
                <w:color w:val="auto"/>
                <w:sz w:val="24"/>
              </w:rPr>
              <w:t>项目</w:t>
            </w:r>
            <w:r>
              <w:rPr>
                <w:color w:val="auto"/>
                <w:sz w:val="24"/>
              </w:rPr>
              <w:t>严格按照《</w:t>
            </w:r>
            <w:r>
              <w:rPr>
                <w:rFonts w:hint="eastAsia"/>
                <w:color w:val="auto"/>
                <w:sz w:val="24"/>
              </w:rPr>
              <w:t>广东</w:t>
            </w:r>
            <w:r>
              <w:rPr>
                <w:color w:val="auto"/>
                <w:sz w:val="24"/>
              </w:rPr>
              <w:t>省大气</w:t>
            </w:r>
            <w:r>
              <w:rPr>
                <w:rFonts w:hint="eastAsia"/>
                <w:color w:val="auto"/>
                <w:sz w:val="24"/>
              </w:rPr>
              <w:t>污染</w:t>
            </w:r>
            <w:r>
              <w:rPr>
                <w:color w:val="auto"/>
                <w:sz w:val="24"/>
              </w:rPr>
              <w:t>防治条例》</w:t>
            </w:r>
            <w:r>
              <w:rPr>
                <w:rFonts w:hint="eastAsia"/>
                <w:color w:val="auto"/>
                <w:sz w:val="24"/>
              </w:rPr>
              <w:t>的</w:t>
            </w:r>
            <w:r>
              <w:rPr>
                <w:color w:val="auto"/>
                <w:sz w:val="24"/>
              </w:rPr>
              <w:t>相关要求，</w:t>
            </w:r>
            <w:r>
              <w:rPr>
                <w:rFonts w:hint="eastAsia"/>
                <w:color w:val="auto"/>
                <w:sz w:val="24"/>
              </w:rPr>
              <w:t>从</w:t>
            </w:r>
            <w:r>
              <w:rPr>
                <w:color w:val="auto"/>
                <w:sz w:val="24"/>
              </w:rPr>
              <w:t>源</w:t>
            </w:r>
            <w:r>
              <w:rPr>
                <w:rFonts w:hint="eastAsia"/>
                <w:color w:val="auto"/>
                <w:sz w:val="24"/>
              </w:rPr>
              <w:t>头</w:t>
            </w:r>
            <w:r>
              <w:rPr>
                <w:color w:val="auto"/>
                <w:sz w:val="24"/>
              </w:rPr>
              <w:t>、</w:t>
            </w:r>
            <w:r>
              <w:rPr>
                <w:rFonts w:hint="eastAsia"/>
                <w:color w:val="auto"/>
                <w:sz w:val="24"/>
              </w:rPr>
              <w:t>生</w:t>
            </w:r>
            <w:r>
              <w:rPr>
                <w:color w:val="auto"/>
                <w:sz w:val="24"/>
              </w:rPr>
              <w:t>产过程</w:t>
            </w:r>
            <w:r>
              <w:rPr>
                <w:rFonts w:hint="eastAsia"/>
                <w:color w:val="auto"/>
                <w:sz w:val="24"/>
              </w:rPr>
              <w:t>及</w:t>
            </w:r>
            <w:r>
              <w:rPr>
                <w:color w:val="auto"/>
                <w:sz w:val="24"/>
              </w:rPr>
              <w:t>末端采用</w:t>
            </w:r>
            <w:r>
              <w:rPr>
                <w:rFonts w:hint="eastAsia"/>
                <w:color w:val="auto"/>
                <w:sz w:val="24"/>
              </w:rPr>
              <w:t>除尘</w:t>
            </w:r>
            <w:r>
              <w:rPr>
                <w:color w:val="auto"/>
                <w:sz w:val="24"/>
              </w:rPr>
              <w:t>器除尘、定期洒水、料场</w:t>
            </w:r>
            <w:r>
              <w:rPr>
                <w:rFonts w:hint="eastAsia"/>
                <w:color w:val="auto"/>
                <w:sz w:val="24"/>
              </w:rPr>
              <w:t>三</w:t>
            </w:r>
            <w:r>
              <w:rPr>
                <w:color w:val="auto"/>
                <w:sz w:val="24"/>
              </w:rPr>
              <w:t>面围挡等防治</w:t>
            </w:r>
            <w:r>
              <w:rPr>
                <w:rFonts w:hint="eastAsia"/>
                <w:color w:val="auto"/>
                <w:sz w:val="24"/>
              </w:rPr>
              <w:t>措施，使产</w:t>
            </w:r>
            <w:r>
              <w:rPr>
                <w:color w:val="auto"/>
                <w:sz w:val="24"/>
              </w:rPr>
              <w:t>生污染物能够</w:t>
            </w:r>
            <w:r>
              <w:rPr>
                <w:rFonts w:hint="eastAsia"/>
                <w:color w:val="auto"/>
                <w:sz w:val="24"/>
              </w:rPr>
              <w:t>达</w:t>
            </w:r>
            <w:r>
              <w:rPr>
                <w:color w:val="auto"/>
                <w:sz w:val="24"/>
              </w:rPr>
              <w:t>标排放，</w:t>
            </w:r>
            <w:r>
              <w:rPr>
                <w:rFonts w:hint="eastAsia"/>
                <w:color w:val="auto"/>
                <w:sz w:val="24"/>
              </w:rPr>
              <w:t>防止</w:t>
            </w:r>
            <w:r>
              <w:rPr>
                <w:color w:val="auto"/>
                <w:sz w:val="24"/>
              </w:rPr>
              <w:t>、减</w:t>
            </w:r>
            <w:r>
              <w:rPr>
                <w:rFonts w:hint="eastAsia"/>
                <w:color w:val="auto"/>
                <w:sz w:val="24"/>
              </w:rPr>
              <w:t>少</w:t>
            </w:r>
            <w:r>
              <w:rPr>
                <w:color w:val="auto"/>
                <w:sz w:val="24"/>
              </w:rPr>
              <w:t>了项目产生粉尘对大气环境的影响</w:t>
            </w:r>
            <w:r>
              <w:rPr>
                <w:rFonts w:hint="eastAsia"/>
                <w:color w:val="auto"/>
                <w:sz w:val="24"/>
              </w:rPr>
              <w:t>，</w:t>
            </w:r>
            <w:r>
              <w:rPr>
                <w:color w:val="auto"/>
                <w:sz w:val="24"/>
              </w:rPr>
              <w:t>因此，本项目</w:t>
            </w:r>
            <w:r>
              <w:rPr>
                <w:rFonts w:hint="eastAsia"/>
                <w:color w:val="auto"/>
                <w:sz w:val="24"/>
              </w:rPr>
              <w:t>产</w:t>
            </w:r>
            <w:r>
              <w:rPr>
                <w:color w:val="auto"/>
                <w:sz w:val="24"/>
              </w:rPr>
              <w:t>生的污染物对大气的影响是可以接受的。</w:t>
            </w:r>
          </w:p>
          <w:p>
            <w:pPr>
              <w:spacing w:line="360" w:lineRule="auto"/>
              <w:ind w:firstLine="482" w:firstLineChars="200"/>
              <w:rPr>
                <w:b/>
                <w:bCs/>
                <w:color w:val="auto"/>
                <w:sz w:val="24"/>
              </w:rPr>
            </w:pPr>
            <w:r>
              <w:rPr>
                <w:b/>
                <w:color w:val="auto"/>
                <w:sz w:val="24"/>
              </w:rPr>
              <w:t>2、</w:t>
            </w:r>
            <w:bookmarkEnd w:id="74"/>
            <w:r>
              <w:rPr>
                <w:b/>
                <w:bCs/>
                <w:color w:val="auto"/>
                <w:sz w:val="24"/>
              </w:rPr>
              <w:t>水环境影响分析</w:t>
            </w:r>
          </w:p>
          <w:p>
            <w:pPr>
              <w:spacing w:line="360" w:lineRule="auto"/>
              <w:ind w:firstLine="480" w:firstLineChars="200"/>
              <w:rPr>
                <w:color w:val="auto"/>
                <w:sz w:val="24"/>
              </w:rPr>
            </w:pPr>
            <w:r>
              <w:rPr>
                <w:color w:val="auto"/>
                <w:sz w:val="24"/>
              </w:rPr>
              <w:t>营运期废水主要包括工作人员的生活污水和清洗过程产生的冲洗废水。</w:t>
            </w:r>
          </w:p>
          <w:p>
            <w:pPr>
              <w:spacing w:line="460" w:lineRule="exact"/>
              <w:ind w:firstLine="480" w:firstLineChars="200"/>
              <w:rPr>
                <w:bCs/>
                <w:color w:val="auto"/>
                <w:spacing w:val="10"/>
                <w:sz w:val="24"/>
              </w:rPr>
            </w:pPr>
            <w:r>
              <w:rPr>
                <w:color w:val="auto"/>
                <w:sz w:val="24"/>
              </w:rPr>
              <w:t>1）员工生活污水</w:t>
            </w:r>
            <w:r>
              <w:rPr>
                <w:bCs/>
                <w:color w:val="auto"/>
                <w:sz w:val="24"/>
              </w:rPr>
              <w:t>：</w:t>
            </w:r>
            <w:r>
              <w:rPr>
                <w:color w:val="auto"/>
                <w:spacing w:val="10"/>
                <w:sz w:val="24"/>
              </w:rPr>
              <w:t>本</w:t>
            </w:r>
            <w:r>
              <w:rPr>
                <w:bCs/>
                <w:color w:val="auto"/>
                <w:spacing w:val="10"/>
                <w:sz w:val="24"/>
              </w:rPr>
              <w:t>项目员工42人，</w:t>
            </w:r>
            <w:r>
              <w:rPr>
                <w:rFonts w:hint="eastAsia"/>
                <w:bCs/>
                <w:color w:val="auto"/>
                <w:spacing w:val="10"/>
                <w:sz w:val="24"/>
              </w:rPr>
              <w:t>均不</w:t>
            </w:r>
            <w:r>
              <w:rPr>
                <w:bCs/>
                <w:color w:val="auto"/>
                <w:spacing w:val="10"/>
                <w:sz w:val="24"/>
              </w:rPr>
              <w:t>在</w:t>
            </w:r>
            <w:r>
              <w:rPr>
                <w:rFonts w:hint="eastAsia"/>
                <w:bCs/>
                <w:color w:val="auto"/>
                <w:spacing w:val="10"/>
                <w:sz w:val="24"/>
              </w:rPr>
              <w:t>厂内</w:t>
            </w:r>
            <w:r>
              <w:rPr>
                <w:bCs/>
                <w:color w:val="auto"/>
                <w:spacing w:val="10"/>
                <w:sz w:val="24"/>
              </w:rPr>
              <w:t>食宿，</w:t>
            </w:r>
            <w:r>
              <w:rPr>
                <w:color w:val="auto"/>
                <w:sz w:val="24"/>
              </w:rPr>
              <w:t>本项目</w:t>
            </w:r>
            <w:r>
              <w:rPr>
                <w:rFonts w:hint="eastAsia"/>
                <w:color w:val="auto"/>
                <w:sz w:val="24"/>
              </w:rPr>
              <w:t>生活</w:t>
            </w:r>
            <w:r>
              <w:rPr>
                <w:color w:val="auto"/>
                <w:sz w:val="24"/>
              </w:rPr>
              <w:t>污水经</w:t>
            </w:r>
            <w:r>
              <w:rPr>
                <w:rFonts w:hint="eastAsia"/>
                <w:color w:val="auto"/>
                <w:sz w:val="24"/>
              </w:rPr>
              <w:t>地埋式一</w:t>
            </w:r>
            <w:r>
              <w:rPr>
                <w:color w:val="auto"/>
                <w:sz w:val="24"/>
              </w:rPr>
              <w:t>体化</w:t>
            </w:r>
            <w:r>
              <w:rPr>
                <w:rFonts w:hint="eastAsia"/>
                <w:color w:val="auto"/>
                <w:sz w:val="24"/>
              </w:rPr>
              <w:t>污水处理设施</w:t>
            </w:r>
            <w:r>
              <w:rPr>
                <w:color w:val="auto"/>
                <w:sz w:val="24"/>
              </w:rPr>
              <w:t>处理后达</w:t>
            </w:r>
            <w:r>
              <w:rPr>
                <w:color w:val="auto"/>
                <w:spacing w:val="-2"/>
                <w:sz w:val="24"/>
              </w:rPr>
              <w:t>到</w:t>
            </w:r>
            <w:r>
              <w:rPr>
                <w:rFonts w:hint="eastAsia"/>
                <w:color w:val="auto"/>
                <w:sz w:val="24"/>
              </w:rPr>
              <w:t>《城市污水再生利用</w:t>
            </w:r>
            <w:r>
              <w:rPr>
                <w:color w:val="auto"/>
                <w:sz w:val="24"/>
              </w:rPr>
              <w:t> </w:t>
            </w:r>
            <w:r>
              <w:rPr>
                <w:rFonts w:hint="eastAsia"/>
                <w:color w:val="auto"/>
                <w:sz w:val="24"/>
              </w:rPr>
              <w:t>城市杂用水水质》（</w:t>
            </w:r>
            <w:r>
              <w:rPr>
                <w:color w:val="auto"/>
                <w:sz w:val="24"/>
              </w:rPr>
              <w:t>GB/T18920-2002</w:t>
            </w:r>
            <w:r>
              <w:rPr>
                <w:rFonts w:hint="eastAsia"/>
                <w:color w:val="auto"/>
                <w:sz w:val="24"/>
              </w:rPr>
              <w:t>）中绿化用水标准要求后回用于厂区绿化灌溉，</w:t>
            </w:r>
            <w:r>
              <w:rPr>
                <w:color w:val="auto"/>
                <w:sz w:val="24"/>
              </w:rPr>
              <w:t>不外排。</w:t>
            </w:r>
          </w:p>
          <w:p>
            <w:pPr>
              <w:numPr>
                <w:ilvl w:val="0"/>
                <w:numId w:val="10"/>
              </w:numPr>
              <w:spacing w:line="360" w:lineRule="auto"/>
              <w:ind w:firstLine="480"/>
              <w:rPr>
                <w:color w:val="auto"/>
                <w:spacing w:val="-2"/>
                <w:sz w:val="24"/>
              </w:rPr>
            </w:pPr>
            <w:r>
              <w:rPr>
                <w:rFonts w:hint="eastAsia"/>
                <w:color w:val="auto"/>
                <w:sz w:val="24"/>
              </w:rPr>
              <w:t>生产</w:t>
            </w:r>
            <w:r>
              <w:rPr>
                <w:color w:val="auto"/>
                <w:sz w:val="24"/>
              </w:rPr>
              <w:t>废水：</w:t>
            </w:r>
            <w:r>
              <w:rPr>
                <w:rFonts w:hint="eastAsia"/>
                <w:bCs/>
                <w:color w:val="auto"/>
                <w:sz w:val="24"/>
              </w:rPr>
              <w:t>项目生产废水主要是清洗废水，包括搅拌机清洗废水、运输车清洗废水、地面冲洗废水及砂石分离机产生泥浆水，产生量总计</w:t>
            </w:r>
            <w:r>
              <w:rPr>
                <w:bCs/>
                <w:color w:val="auto"/>
                <w:sz w:val="24"/>
              </w:rPr>
              <w:t>5217.3</w:t>
            </w:r>
            <w:r>
              <w:rPr>
                <w:rFonts w:hint="eastAsia"/>
                <w:bCs/>
                <w:color w:val="auto"/>
                <w:sz w:val="24"/>
              </w:rPr>
              <w:t>t/a，SS浓度为3000mg/L，SS产生量为</w:t>
            </w:r>
            <w:r>
              <w:rPr>
                <w:bCs/>
                <w:color w:val="auto"/>
                <w:sz w:val="24"/>
              </w:rPr>
              <w:t>15.7</w:t>
            </w:r>
            <w:r>
              <w:rPr>
                <w:rFonts w:hint="eastAsia"/>
                <w:bCs/>
                <w:color w:val="auto"/>
                <w:sz w:val="24"/>
              </w:rPr>
              <w:t>t/a，清洗废水经四级沉淀处理，处理效率为90%，则处理后废水SS浓度为300mg/L，SS产生量为</w:t>
            </w:r>
            <w:r>
              <w:rPr>
                <w:bCs/>
                <w:color w:val="auto"/>
                <w:sz w:val="24"/>
              </w:rPr>
              <w:t>1.57</w:t>
            </w:r>
            <w:r>
              <w:rPr>
                <w:rFonts w:hint="eastAsia"/>
                <w:bCs/>
                <w:color w:val="auto"/>
                <w:sz w:val="24"/>
              </w:rPr>
              <w:t>t/a，符合《城市污水再生利用工业用水水质》（GB/T 19923-2005）中工艺与产品用水的水质标准，后回用于搅拌机及运输车清洗用水，不外排，不会对环境造成影响。</w:t>
            </w:r>
            <w:bookmarkStart w:id="75" w:name="_Toc364331276"/>
            <w:bookmarkStart w:id="76" w:name="_Toc364763647"/>
          </w:p>
          <w:p>
            <w:pPr>
              <w:numPr>
                <w:ilvl w:val="0"/>
                <w:numId w:val="10"/>
              </w:numPr>
              <w:spacing w:line="360" w:lineRule="auto"/>
              <w:ind w:firstLine="472"/>
              <w:rPr>
                <w:color w:val="auto"/>
              </w:rPr>
            </w:pPr>
            <w:r>
              <w:rPr>
                <w:color w:val="auto"/>
                <w:spacing w:val="-2"/>
                <w:sz w:val="24"/>
              </w:rPr>
              <w:t>抑尘喷洒用水：项目作业区和</w:t>
            </w:r>
            <w:r>
              <w:rPr>
                <w:color w:val="auto"/>
                <w:sz w:val="24"/>
              </w:rPr>
              <w:t>沙、石装卸过程</w:t>
            </w:r>
            <w:r>
              <w:rPr>
                <w:color w:val="auto"/>
                <w:spacing w:val="-2"/>
                <w:sz w:val="24"/>
              </w:rPr>
              <w:t>需每天进行喷洒抑尘，喷洒用水量1500m</w:t>
            </w:r>
            <w:r>
              <w:rPr>
                <w:color w:val="auto"/>
                <w:spacing w:val="-2"/>
                <w:sz w:val="24"/>
                <w:vertAlign w:val="superscript"/>
              </w:rPr>
              <w:t xml:space="preserve">3 </w:t>
            </w:r>
            <w:r>
              <w:rPr>
                <w:color w:val="auto"/>
                <w:spacing w:val="-2"/>
                <w:sz w:val="24"/>
              </w:rPr>
              <w:t>/a</w:t>
            </w:r>
            <w:r>
              <w:rPr>
                <w:rFonts w:hint="eastAsia"/>
                <w:color w:val="auto"/>
                <w:spacing w:val="-2"/>
                <w:sz w:val="24"/>
              </w:rPr>
              <w:t>，</w:t>
            </w:r>
            <w:r>
              <w:rPr>
                <w:color w:val="auto"/>
                <w:spacing w:val="-2"/>
                <w:sz w:val="24"/>
              </w:rPr>
              <w:t>喷洒水全部经粉尘吸收及自然挥发后损耗，无废水产生。</w:t>
            </w:r>
          </w:p>
          <w:p>
            <w:pPr>
              <w:spacing w:line="360" w:lineRule="auto"/>
              <w:ind w:firstLine="480" w:firstLineChars="200"/>
              <w:rPr>
                <w:color w:val="auto"/>
                <w:sz w:val="24"/>
              </w:rPr>
            </w:pPr>
            <w:r>
              <w:rPr>
                <w:color w:val="auto"/>
                <w:sz w:val="24"/>
              </w:rPr>
              <w:t>综上所述，项目产生的废水经上述处理措施处理后，对周围水环境影响</w:t>
            </w:r>
            <w:r>
              <w:rPr>
                <w:rFonts w:hint="eastAsia"/>
                <w:color w:val="auto"/>
                <w:sz w:val="24"/>
              </w:rPr>
              <w:t>可以</w:t>
            </w:r>
            <w:r>
              <w:rPr>
                <w:color w:val="auto"/>
                <w:sz w:val="24"/>
              </w:rPr>
              <w:t>接受。</w:t>
            </w:r>
          </w:p>
          <w:p>
            <w:pPr>
              <w:pStyle w:val="2"/>
              <w:ind w:firstLine="422"/>
              <w:jc w:val="center"/>
              <w:rPr>
                <w:b/>
                <w:color w:val="auto"/>
              </w:rPr>
            </w:pPr>
            <w:r>
              <w:rPr>
                <w:rFonts w:hint="eastAsia"/>
                <w:b/>
                <w:color w:val="auto"/>
              </w:rPr>
              <w:t>表7-10　地表水环境影响评价自查表</w:t>
            </w:r>
          </w:p>
          <w:tbl>
            <w:tblPr>
              <w:tblStyle w:val="30"/>
              <w:tblW w:w="850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15"/>
              <w:gridCol w:w="1315"/>
              <w:gridCol w:w="1440"/>
              <w:gridCol w:w="414"/>
              <w:gridCol w:w="53"/>
              <w:gridCol w:w="508"/>
              <w:gridCol w:w="406"/>
              <w:gridCol w:w="607"/>
              <w:gridCol w:w="610"/>
              <w:gridCol w:w="177"/>
              <w:gridCol w:w="228"/>
              <w:gridCol w:w="812"/>
              <w:gridCol w:w="55"/>
              <w:gridCol w:w="136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30" w:type="dxa"/>
                  <w:gridSpan w:val="2"/>
                  <w:shd w:val="clear" w:color="auto" w:fill="auto"/>
                  <w:vAlign w:val="center"/>
                </w:tcPr>
                <w:p>
                  <w:pPr>
                    <w:jc w:val="center"/>
                    <w:rPr>
                      <w:color w:val="auto"/>
                    </w:rPr>
                  </w:pPr>
                  <w:r>
                    <w:rPr>
                      <w:color w:val="auto"/>
                      <w:sz w:val="18"/>
                      <w:szCs w:val="18"/>
                    </w:rPr>
                    <w:t>工作内容</w:t>
                  </w:r>
                </w:p>
              </w:tc>
              <w:tc>
                <w:tcPr>
                  <w:tcW w:w="6673" w:type="dxa"/>
                  <w:gridSpan w:val="12"/>
                  <w:shd w:val="clear" w:color="auto" w:fill="auto"/>
                  <w:vAlign w:val="center"/>
                </w:tcPr>
                <w:p>
                  <w:pPr>
                    <w:jc w:val="center"/>
                    <w:rPr>
                      <w:color w:val="auto"/>
                    </w:rPr>
                  </w:pPr>
                  <w:r>
                    <w:rPr>
                      <w:color w:val="auto"/>
                      <w:sz w:val="18"/>
                      <w:szCs w:val="18"/>
                    </w:rPr>
                    <w:t>自查项目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识</w:t>
                  </w:r>
                </w:p>
                <w:p>
                  <w:pPr>
                    <w:jc w:val="center"/>
                    <w:rPr>
                      <w:color w:val="auto"/>
                    </w:rPr>
                  </w:pPr>
                  <w:r>
                    <w:rPr>
                      <w:rFonts w:hint="eastAsia"/>
                      <w:color w:val="auto"/>
                      <w:sz w:val="18"/>
                      <w:szCs w:val="18"/>
                    </w:rPr>
                    <w:t>别</w:t>
                  </w:r>
                </w:p>
              </w:tc>
              <w:tc>
                <w:tcPr>
                  <w:tcW w:w="1315" w:type="dxa"/>
                  <w:shd w:val="clear" w:color="auto" w:fill="auto"/>
                  <w:vAlign w:val="center"/>
                </w:tcPr>
                <w:p>
                  <w:pPr>
                    <w:jc w:val="center"/>
                    <w:rPr>
                      <w:color w:val="auto"/>
                    </w:rPr>
                  </w:pPr>
                  <w:r>
                    <w:rPr>
                      <w:rFonts w:hint="eastAsia"/>
                      <w:color w:val="auto"/>
                      <w:sz w:val="18"/>
                      <w:szCs w:val="18"/>
                    </w:rPr>
                    <w:t>影响类型</w:t>
                  </w:r>
                </w:p>
              </w:tc>
              <w:tc>
                <w:tcPr>
                  <w:tcW w:w="6673" w:type="dxa"/>
                  <w:gridSpan w:val="12"/>
                  <w:shd w:val="clear" w:color="auto" w:fill="auto"/>
                  <w:vAlign w:val="center"/>
                </w:tcPr>
                <w:p>
                  <w:pPr>
                    <w:jc w:val="left"/>
                    <w:rPr>
                      <w:color w:val="auto"/>
                    </w:rPr>
                  </w:pPr>
                  <w:r>
                    <w:rPr>
                      <w:rFonts w:hint="eastAsia"/>
                      <w:color w:val="auto"/>
                      <w:sz w:val="18"/>
                      <w:szCs w:val="18"/>
                    </w:rPr>
                    <w:t>水污染影响型</w:t>
                  </w:r>
                  <w:r>
                    <w:rPr>
                      <w:color w:val="auto"/>
                      <w:sz w:val="18"/>
                      <w:szCs w:val="18"/>
                    </w:rPr>
                    <w:sym w:font="Wingdings 2" w:char="0052"/>
                  </w:r>
                  <w:r>
                    <w:rPr>
                      <w:rFonts w:hint="eastAsia"/>
                      <w:color w:val="auto"/>
                      <w:sz w:val="18"/>
                      <w:szCs w:val="18"/>
                    </w:rPr>
                    <w:t>；水文要素影响型□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水环境保护目标</w:t>
                  </w:r>
                </w:p>
              </w:tc>
              <w:tc>
                <w:tcPr>
                  <w:tcW w:w="6673" w:type="dxa"/>
                  <w:gridSpan w:val="12"/>
                  <w:shd w:val="clear" w:color="auto" w:fill="auto"/>
                  <w:vAlign w:val="center"/>
                </w:tcPr>
                <w:p>
                  <w:pPr>
                    <w:jc w:val="left"/>
                    <w:rPr>
                      <w:color w:val="auto"/>
                      <w:sz w:val="18"/>
                      <w:szCs w:val="18"/>
                    </w:rPr>
                  </w:pPr>
                  <w:r>
                    <w:rPr>
                      <w:rFonts w:hint="eastAsia"/>
                      <w:color w:val="auto"/>
                      <w:sz w:val="18"/>
                      <w:szCs w:val="18"/>
                    </w:rPr>
                    <w:t>饮用水水源保护区□；饮用水取水口□；涉水的自然保护区□；重要湿地□；</w:t>
                  </w:r>
                </w:p>
                <w:p>
                  <w:pPr>
                    <w:jc w:val="left"/>
                    <w:rPr>
                      <w:color w:val="auto"/>
                    </w:rPr>
                  </w:pPr>
                  <w:r>
                    <w:rPr>
                      <w:rFonts w:hint="eastAsia"/>
                      <w:color w:val="auto"/>
                      <w:sz w:val="18"/>
                      <w:szCs w:val="18"/>
                    </w:rPr>
                    <w:t>重点保护与珍稀水生生物的栖息地□；重要水生生物的自然产卵场及索饵场、越冬场和洄游通道、天然渔场等渔业水体□；涉水的风景名胜区□；其他</w:t>
                  </w:r>
                  <w:r>
                    <w:rPr>
                      <w:color w:val="auto"/>
                      <w:sz w:val="18"/>
                      <w:szCs w:val="18"/>
                    </w:rPr>
                    <w:sym w:font="Wingdings 2" w:char="0052"/>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影响途径</w:t>
                  </w:r>
                </w:p>
              </w:tc>
              <w:tc>
                <w:tcPr>
                  <w:tcW w:w="3428" w:type="dxa"/>
                  <w:gridSpan w:val="6"/>
                  <w:shd w:val="clear" w:color="auto" w:fill="auto"/>
                  <w:vAlign w:val="center"/>
                </w:tcPr>
                <w:p>
                  <w:pPr>
                    <w:jc w:val="center"/>
                    <w:rPr>
                      <w:color w:val="auto"/>
                    </w:rPr>
                  </w:pPr>
                  <w:r>
                    <w:rPr>
                      <w:color w:val="auto"/>
                      <w:sz w:val="18"/>
                      <w:szCs w:val="18"/>
                    </w:rPr>
                    <w:t>水污染影响型</w:t>
                  </w:r>
                </w:p>
              </w:tc>
              <w:tc>
                <w:tcPr>
                  <w:tcW w:w="3245" w:type="dxa"/>
                  <w:gridSpan w:val="6"/>
                  <w:shd w:val="clear" w:color="auto" w:fill="auto"/>
                  <w:vAlign w:val="center"/>
                </w:tcPr>
                <w:p>
                  <w:pPr>
                    <w:jc w:val="center"/>
                    <w:rPr>
                      <w:color w:val="auto"/>
                    </w:rPr>
                  </w:pPr>
                  <w:r>
                    <w:rPr>
                      <w:rFonts w:hint="eastAsia"/>
                      <w:color w:val="auto"/>
                      <w:sz w:val="18"/>
                      <w:szCs w:val="18"/>
                    </w:rPr>
                    <w:t>水文要素影响型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3428" w:type="dxa"/>
                  <w:gridSpan w:val="6"/>
                  <w:shd w:val="clear" w:color="auto" w:fill="auto"/>
                  <w:vAlign w:val="center"/>
                </w:tcPr>
                <w:p>
                  <w:pPr>
                    <w:jc w:val="left"/>
                    <w:rPr>
                      <w:color w:val="auto"/>
                    </w:rPr>
                  </w:pPr>
                  <w:r>
                    <w:rPr>
                      <w:rFonts w:hint="eastAsia"/>
                      <w:color w:val="auto"/>
                      <w:sz w:val="18"/>
                      <w:szCs w:val="18"/>
                    </w:rPr>
                    <w:t>直接排放□；间接排放□；其他</w:t>
                  </w:r>
                  <w:r>
                    <w:rPr>
                      <w:color w:val="auto"/>
                      <w:sz w:val="18"/>
                      <w:szCs w:val="18"/>
                    </w:rPr>
                    <w:sym w:font="Wingdings 2" w:char="0052"/>
                  </w:r>
                </w:p>
              </w:tc>
              <w:tc>
                <w:tcPr>
                  <w:tcW w:w="3245" w:type="dxa"/>
                  <w:gridSpan w:val="6"/>
                  <w:shd w:val="clear" w:color="auto" w:fill="auto"/>
                  <w:vAlign w:val="center"/>
                </w:tcPr>
                <w:p>
                  <w:pPr>
                    <w:jc w:val="left"/>
                    <w:rPr>
                      <w:color w:val="auto"/>
                    </w:rPr>
                  </w:pPr>
                  <w:r>
                    <w:rPr>
                      <w:rFonts w:hint="eastAsia"/>
                      <w:color w:val="auto"/>
                      <w:sz w:val="18"/>
                      <w:szCs w:val="18"/>
                    </w:rPr>
                    <w:t>水温□；径流□；水域面积□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影响因子</w:t>
                  </w:r>
                </w:p>
              </w:tc>
              <w:tc>
                <w:tcPr>
                  <w:tcW w:w="3428" w:type="dxa"/>
                  <w:gridSpan w:val="6"/>
                  <w:shd w:val="clear" w:color="auto" w:fill="auto"/>
                  <w:vAlign w:val="center"/>
                </w:tcPr>
                <w:p>
                  <w:pPr>
                    <w:jc w:val="left"/>
                    <w:rPr>
                      <w:color w:val="auto"/>
                      <w:sz w:val="18"/>
                      <w:szCs w:val="18"/>
                    </w:rPr>
                  </w:pPr>
                  <w:r>
                    <w:rPr>
                      <w:rFonts w:hint="eastAsia"/>
                      <w:color w:val="auto"/>
                      <w:sz w:val="18"/>
                      <w:szCs w:val="18"/>
                    </w:rPr>
                    <w:t>持久性污染物□；有毒有害污染物□；非持久性污染物</w:t>
                  </w:r>
                  <w:r>
                    <w:rPr>
                      <w:rFonts w:hint="eastAsia"/>
                      <w:color w:val="auto"/>
                      <w:sz w:val="18"/>
                      <w:szCs w:val="18"/>
                    </w:rPr>
                    <w:sym w:font="Wingdings 2" w:char="0052"/>
                  </w:r>
                  <w:r>
                    <w:rPr>
                      <w:rFonts w:hint="eastAsia"/>
                      <w:color w:val="auto"/>
                      <w:sz w:val="18"/>
                      <w:szCs w:val="18"/>
                    </w:rPr>
                    <w:t>；</w:t>
                  </w:r>
                </w:p>
                <w:p>
                  <w:pPr>
                    <w:jc w:val="left"/>
                    <w:rPr>
                      <w:color w:val="auto"/>
                    </w:rPr>
                  </w:pPr>
                  <w:r>
                    <w:rPr>
                      <w:rFonts w:hint="eastAsia"/>
                      <w:color w:val="auto"/>
                      <w:sz w:val="18"/>
                      <w:szCs w:val="18"/>
                    </w:rPr>
                    <w:t>pH值□；热污染□；富营养化□；其他</w:t>
                  </w:r>
                  <w:r>
                    <w:rPr>
                      <w:color w:val="auto"/>
                      <w:sz w:val="18"/>
                      <w:szCs w:val="18"/>
                    </w:rPr>
                    <w:sym w:font="Wingdings 2" w:char="00A3"/>
                  </w:r>
                </w:p>
              </w:tc>
              <w:tc>
                <w:tcPr>
                  <w:tcW w:w="3245" w:type="dxa"/>
                  <w:gridSpan w:val="6"/>
                  <w:shd w:val="clear" w:color="auto" w:fill="auto"/>
                  <w:vAlign w:val="center"/>
                </w:tcPr>
                <w:p>
                  <w:pPr>
                    <w:jc w:val="left"/>
                    <w:rPr>
                      <w:color w:val="auto"/>
                    </w:rPr>
                  </w:pPr>
                  <w:r>
                    <w:rPr>
                      <w:rFonts w:hint="eastAsia"/>
                      <w:color w:val="auto"/>
                      <w:sz w:val="18"/>
                      <w:szCs w:val="18"/>
                    </w:rPr>
                    <w:t>水温□；水位（水深）□；流速□；流量□；其他□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30" w:type="dxa"/>
                  <w:gridSpan w:val="2"/>
                  <w:vMerge w:val="restart"/>
                  <w:shd w:val="clear" w:color="auto" w:fill="auto"/>
                  <w:vAlign w:val="center"/>
                </w:tcPr>
                <w:p>
                  <w:pPr>
                    <w:jc w:val="center"/>
                    <w:rPr>
                      <w:color w:val="auto"/>
                    </w:rPr>
                  </w:pPr>
                  <w:r>
                    <w:rPr>
                      <w:color w:val="auto"/>
                      <w:sz w:val="18"/>
                      <w:szCs w:val="18"/>
                    </w:rPr>
                    <w:t>评价等级</w:t>
                  </w:r>
                </w:p>
              </w:tc>
              <w:tc>
                <w:tcPr>
                  <w:tcW w:w="3428" w:type="dxa"/>
                  <w:gridSpan w:val="6"/>
                  <w:shd w:val="clear" w:color="auto" w:fill="auto"/>
                  <w:vAlign w:val="center"/>
                </w:tcPr>
                <w:p>
                  <w:pPr>
                    <w:jc w:val="center"/>
                    <w:rPr>
                      <w:color w:val="auto"/>
                    </w:rPr>
                  </w:pPr>
                  <w:r>
                    <w:rPr>
                      <w:color w:val="auto"/>
                      <w:sz w:val="18"/>
                      <w:szCs w:val="18"/>
                    </w:rPr>
                    <w:t>水污染影响型</w:t>
                  </w:r>
                </w:p>
              </w:tc>
              <w:tc>
                <w:tcPr>
                  <w:tcW w:w="3245" w:type="dxa"/>
                  <w:gridSpan w:val="6"/>
                  <w:shd w:val="clear" w:color="auto" w:fill="auto"/>
                  <w:vAlign w:val="center"/>
                </w:tcPr>
                <w:p>
                  <w:pPr>
                    <w:jc w:val="center"/>
                    <w:rPr>
                      <w:color w:val="auto"/>
                    </w:rPr>
                  </w:pPr>
                  <w:r>
                    <w:rPr>
                      <w:rFonts w:hint="eastAsia"/>
                      <w:color w:val="auto"/>
                      <w:sz w:val="18"/>
                      <w:szCs w:val="18"/>
                    </w:rPr>
                    <w:t>水文要素影响型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30" w:type="dxa"/>
                  <w:gridSpan w:val="2"/>
                  <w:vMerge w:val="continue"/>
                  <w:shd w:val="clear" w:color="auto" w:fill="auto"/>
                  <w:vAlign w:val="center"/>
                </w:tcPr>
                <w:p>
                  <w:pPr>
                    <w:jc w:val="center"/>
                    <w:rPr>
                      <w:color w:val="auto"/>
                    </w:rPr>
                  </w:pPr>
                </w:p>
              </w:tc>
              <w:tc>
                <w:tcPr>
                  <w:tcW w:w="3428" w:type="dxa"/>
                  <w:gridSpan w:val="6"/>
                  <w:shd w:val="clear" w:color="auto" w:fill="auto"/>
                  <w:vAlign w:val="center"/>
                </w:tcPr>
                <w:p>
                  <w:pPr>
                    <w:jc w:val="left"/>
                    <w:rPr>
                      <w:color w:val="auto"/>
                    </w:rPr>
                  </w:pPr>
                  <w:r>
                    <w:rPr>
                      <w:rFonts w:hint="eastAsia"/>
                      <w:color w:val="auto"/>
                      <w:sz w:val="18"/>
                      <w:szCs w:val="18"/>
                    </w:rPr>
                    <w:t xml:space="preserve">一级□；二级□；三级A □；三级B </w:t>
                  </w:r>
                  <w:r>
                    <w:rPr>
                      <w:color w:val="auto"/>
                      <w:sz w:val="18"/>
                      <w:szCs w:val="18"/>
                    </w:rPr>
                    <w:sym w:font="Wingdings 2" w:char="0052"/>
                  </w:r>
                </w:p>
              </w:tc>
              <w:tc>
                <w:tcPr>
                  <w:tcW w:w="3245" w:type="dxa"/>
                  <w:gridSpan w:val="6"/>
                  <w:shd w:val="clear" w:color="auto" w:fill="auto"/>
                  <w:vAlign w:val="center"/>
                </w:tcPr>
                <w:p>
                  <w:pPr>
                    <w:jc w:val="left"/>
                    <w:rPr>
                      <w:color w:val="auto"/>
                    </w:rPr>
                  </w:pPr>
                  <w:r>
                    <w:rPr>
                      <w:rFonts w:hint="eastAsia"/>
                      <w:color w:val="auto"/>
                      <w:sz w:val="18"/>
                      <w:szCs w:val="18"/>
                    </w:rPr>
                    <w:t>一级□；二级□；三级□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现</w:t>
                  </w:r>
                </w:p>
                <w:p>
                  <w:pPr>
                    <w:jc w:val="center"/>
                    <w:rPr>
                      <w:color w:val="auto"/>
                      <w:sz w:val="18"/>
                      <w:szCs w:val="18"/>
                    </w:rPr>
                  </w:pPr>
                  <w:r>
                    <w:rPr>
                      <w:rFonts w:hint="eastAsia"/>
                      <w:color w:val="auto"/>
                      <w:sz w:val="18"/>
                      <w:szCs w:val="18"/>
                    </w:rPr>
                    <w:t>状</w:t>
                  </w:r>
                </w:p>
                <w:p>
                  <w:pPr>
                    <w:jc w:val="center"/>
                    <w:rPr>
                      <w:color w:val="auto"/>
                      <w:sz w:val="18"/>
                      <w:szCs w:val="18"/>
                    </w:rPr>
                  </w:pPr>
                  <w:r>
                    <w:rPr>
                      <w:rFonts w:hint="eastAsia"/>
                      <w:color w:val="auto"/>
                      <w:sz w:val="18"/>
                      <w:szCs w:val="18"/>
                    </w:rPr>
                    <w:t>调</w:t>
                  </w:r>
                </w:p>
                <w:p>
                  <w:pPr>
                    <w:jc w:val="center"/>
                    <w:rPr>
                      <w:color w:val="auto"/>
                    </w:rPr>
                  </w:pPr>
                  <w:r>
                    <w:rPr>
                      <w:rFonts w:hint="eastAsia"/>
                      <w:color w:val="auto"/>
                      <w:sz w:val="18"/>
                      <w:szCs w:val="18"/>
                    </w:rPr>
                    <w:t>查</w:t>
                  </w:r>
                </w:p>
              </w:tc>
              <w:tc>
                <w:tcPr>
                  <w:tcW w:w="1315" w:type="dxa"/>
                  <w:vMerge w:val="restart"/>
                  <w:shd w:val="clear" w:color="auto" w:fill="auto"/>
                  <w:vAlign w:val="center"/>
                </w:tcPr>
                <w:p>
                  <w:pPr>
                    <w:jc w:val="center"/>
                    <w:rPr>
                      <w:color w:val="auto"/>
                    </w:rPr>
                  </w:pPr>
                  <w:r>
                    <w:rPr>
                      <w:rFonts w:hint="eastAsia"/>
                      <w:color w:val="auto"/>
                      <w:sz w:val="18"/>
                      <w:szCs w:val="18"/>
                    </w:rPr>
                    <w:t>区域污染源</w:t>
                  </w:r>
                </w:p>
              </w:tc>
              <w:tc>
                <w:tcPr>
                  <w:tcW w:w="3428" w:type="dxa"/>
                  <w:gridSpan w:val="6"/>
                  <w:shd w:val="clear" w:color="auto" w:fill="auto"/>
                  <w:vAlign w:val="center"/>
                </w:tcPr>
                <w:p>
                  <w:pPr>
                    <w:jc w:val="center"/>
                    <w:rPr>
                      <w:color w:val="auto"/>
                    </w:rPr>
                  </w:pPr>
                  <w:r>
                    <w:rPr>
                      <w:rFonts w:hint="eastAsia"/>
                      <w:color w:val="auto"/>
                      <w:sz w:val="18"/>
                      <w:szCs w:val="18"/>
                    </w:rPr>
                    <w:t>调查项目</w:t>
                  </w:r>
                </w:p>
              </w:tc>
              <w:tc>
                <w:tcPr>
                  <w:tcW w:w="3245" w:type="dxa"/>
                  <w:gridSpan w:val="6"/>
                  <w:shd w:val="clear" w:color="auto" w:fill="auto"/>
                  <w:vAlign w:val="center"/>
                </w:tcPr>
                <w:p>
                  <w:pPr>
                    <w:jc w:val="center"/>
                    <w:rPr>
                      <w:color w:val="auto"/>
                    </w:rPr>
                  </w:pPr>
                  <w:r>
                    <w:rPr>
                      <w:rFonts w:hint="eastAsia"/>
                      <w:color w:val="auto"/>
                      <w:sz w:val="18"/>
                      <w:szCs w:val="18"/>
                    </w:rPr>
                    <w:t>数据来源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1907" w:type="dxa"/>
                  <w:gridSpan w:val="3"/>
                  <w:shd w:val="clear" w:color="auto" w:fill="auto"/>
                  <w:vAlign w:val="center"/>
                </w:tcPr>
                <w:p>
                  <w:pPr>
                    <w:jc w:val="left"/>
                    <w:rPr>
                      <w:color w:val="auto"/>
                    </w:rPr>
                  </w:pPr>
                  <w:r>
                    <w:rPr>
                      <w:rFonts w:hint="eastAsia"/>
                      <w:color w:val="auto"/>
                      <w:sz w:val="18"/>
                      <w:szCs w:val="18"/>
                    </w:rPr>
                    <w:t>已建□；在建□；拟建□；其他□</w:t>
                  </w:r>
                </w:p>
              </w:tc>
              <w:tc>
                <w:tcPr>
                  <w:tcW w:w="1521" w:type="dxa"/>
                  <w:gridSpan w:val="3"/>
                  <w:shd w:val="clear" w:color="auto" w:fill="auto"/>
                  <w:vAlign w:val="center"/>
                </w:tcPr>
                <w:p>
                  <w:pPr>
                    <w:jc w:val="left"/>
                    <w:rPr>
                      <w:color w:val="auto"/>
                    </w:rPr>
                  </w:pPr>
                  <w:r>
                    <w:rPr>
                      <w:rFonts w:hint="eastAsia"/>
                      <w:color w:val="auto"/>
                      <w:sz w:val="18"/>
                      <w:szCs w:val="18"/>
                    </w:rPr>
                    <w:t>拟替代的污染源□</w:t>
                  </w:r>
                </w:p>
              </w:tc>
              <w:tc>
                <w:tcPr>
                  <w:tcW w:w="3245" w:type="dxa"/>
                  <w:gridSpan w:val="6"/>
                  <w:shd w:val="clear" w:color="auto" w:fill="auto"/>
                  <w:vAlign w:val="center"/>
                </w:tcPr>
                <w:p>
                  <w:pPr>
                    <w:jc w:val="center"/>
                    <w:rPr>
                      <w:color w:val="auto"/>
                    </w:rPr>
                  </w:pPr>
                  <w:r>
                    <w:rPr>
                      <w:rFonts w:hint="eastAsia"/>
                      <w:color w:val="auto"/>
                      <w:sz w:val="18"/>
                      <w:szCs w:val="18"/>
                    </w:rPr>
                    <w:t>排污许可证□；环评□；环保验收□；既有实测□；现场监测□；入河排放口数据□；其他□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受影响水体水环境质量</w:t>
                  </w:r>
                </w:p>
              </w:tc>
              <w:tc>
                <w:tcPr>
                  <w:tcW w:w="3428" w:type="dxa"/>
                  <w:gridSpan w:val="6"/>
                  <w:shd w:val="clear" w:color="auto" w:fill="auto"/>
                  <w:vAlign w:val="center"/>
                </w:tcPr>
                <w:p>
                  <w:pPr>
                    <w:jc w:val="center"/>
                    <w:rPr>
                      <w:color w:val="auto"/>
                    </w:rPr>
                  </w:pPr>
                  <w:r>
                    <w:rPr>
                      <w:rFonts w:hint="eastAsia"/>
                      <w:color w:val="auto"/>
                      <w:sz w:val="18"/>
                      <w:szCs w:val="18"/>
                    </w:rPr>
                    <w:t>调查时期</w:t>
                  </w:r>
                </w:p>
              </w:tc>
              <w:tc>
                <w:tcPr>
                  <w:tcW w:w="3245" w:type="dxa"/>
                  <w:gridSpan w:val="6"/>
                  <w:shd w:val="clear" w:color="auto" w:fill="auto"/>
                  <w:vAlign w:val="center"/>
                </w:tcPr>
                <w:p>
                  <w:pPr>
                    <w:jc w:val="center"/>
                    <w:rPr>
                      <w:color w:val="auto"/>
                    </w:rPr>
                  </w:pPr>
                  <w:r>
                    <w:rPr>
                      <w:rFonts w:hint="eastAsia"/>
                      <w:color w:val="auto"/>
                      <w:sz w:val="18"/>
                      <w:szCs w:val="18"/>
                    </w:rPr>
                    <w:t>数据来源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3428" w:type="dxa"/>
                  <w:gridSpan w:val="6"/>
                  <w:shd w:val="clear" w:color="auto" w:fill="auto"/>
                  <w:vAlign w:val="center"/>
                </w:tcPr>
                <w:p>
                  <w:pPr>
                    <w:jc w:val="left"/>
                    <w:rPr>
                      <w:color w:val="auto"/>
                      <w:sz w:val="18"/>
                      <w:szCs w:val="18"/>
                    </w:rPr>
                  </w:pPr>
                  <w:r>
                    <w:rPr>
                      <w:rFonts w:hint="eastAsia"/>
                      <w:color w:val="auto"/>
                      <w:sz w:val="18"/>
                      <w:szCs w:val="18"/>
                    </w:rPr>
                    <w:t>丰水期□；平水期□；枯水期□；冰封期□</w:t>
                  </w:r>
                </w:p>
                <w:p>
                  <w:pPr>
                    <w:jc w:val="left"/>
                    <w:rPr>
                      <w:color w:val="auto"/>
                    </w:rPr>
                  </w:pPr>
                  <w:r>
                    <w:rPr>
                      <w:rFonts w:hint="eastAsia"/>
                      <w:color w:val="auto"/>
                      <w:sz w:val="18"/>
                      <w:szCs w:val="18"/>
                    </w:rPr>
                    <w:t>春季□；夏季□；秋季□；冬季□</w:t>
                  </w:r>
                </w:p>
              </w:tc>
              <w:tc>
                <w:tcPr>
                  <w:tcW w:w="3245" w:type="dxa"/>
                  <w:gridSpan w:val="6"/>
                  <w:shd w:val="clear" w:color="auto" w:fill="auto"/>
                  <w:vAlign w:val="center"/>
                </w:tcPr>
                <w:p>
                  <w:pPr>
                    <w:rPr>
                      <w:color w:val="auto"/>
                    </w:rPr>
                  </w:pPr>
                  <w:r>
                    <w:rPr>
                      <w:rFonts w:hint="eastAsia"/>
                      <w:color w:val="auto"/>
                      <w:sz w:val="18"/>
                      <w:szCs w:val="18"/>
                    </w:rPr>
                    <w:t>生态环境保护主管部门□；补充监测□；其他□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区域水资源开发利用状况</w:t>
                  </w:r>
                </w:p>
              </w:tc>
              <w:tc>
                <w:tcPr>
                  <w:tcW w:w="6673" w:type="dxa"/>
                  <w:gridSpan w:val="12"/>
                  <w:shd w:val="clear" w:color="auto" w:fill="auto"/>
                  <w:vAlign w:val="center"/>
                </w:tcPr>
                <w:p>
                  <w:pPr>
                    <w:jc w:val="left"/>
                    <w:rPr>
                      <w:color w:val="auto"/>
                    </w:rPr>
                  </w:pPr>
                  <w:r>
                    <w:rPr>
                      <w:rFonts w:hint="eastAsia"/>
                      <w:color w:val="auto"/>
                      <w:sz w:val="18"/>
                      <w:szCs w:val="18"/>
                    </w:rPr>
                    <w:t>未开发□；开发量 40%以下□；开发量 40%以上□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水文情势调查</w:t>
                  </w:r>
                </w:p>
              </w:tc>
              <w:tc>
                <w:tcPr>
                  <w:tcW w:w="3428" w:type="dxa"/>
                  <w:gridSpan w:val="6"/>
                  <w:shd w:val="clear" w:color="auto" w:fill="auto"/>
                  <w:vAlign w:val="center"/>
                </w:tcPr>
                <w:p>
                  <w:pPr>
                    <w:jc w:val="center"/>
                    <w:rPr>
                      <w:color w:val="auto"/>
                    </w:rPr>
                  </w:pPr>
                  <w:r>
                    <w:rPr>
                      <w:rFonts w:hint="eastAsia"/>
                      <w:color w:val="auto"/>
                      <w:sz w:val="18"/>
                      <w:szCs w:val="18"/>
                    </w:rPr>
                    <w:t>调查时期</w:t>
                  </w:r>
                </w:p>
              </w:tc>
              <w:tc>
                <w:tcPr>
                  <w:tcW w:w="3245" w:type="dxa"/>
                  <w:gridSpan w:val="6"/>
                  <w:shd w:val="clear" w:color="auto" w:fill="auto"/>
                  <w:vAlign w:val="center"/>
                </w:tcPr>
                <w:p>
                  <w:pPr>
                    <w:jc w:val="center"/>
                    <w:rPr>
                      <w:color w:val="auto"/>
                    </w:rPr>
                  </w:pPr>
                  <w:r>
                    <w:rPr>
                      <w:rFonts w:hint="eastAsia"/>
                      <w:color w:val="auto"/>
                      <w:sz w:val="18"/>
                      <w:szCs w:val="18"/>
                    </w:rPr>
                    <w:t>数据来源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3428" w:type="dxa"/>
                  <w:gridSpan w:val="6"/>
                  <w:shd w:val="clear" w:color="auto" w:fill="auto"/>
                  <w:vAlign w:val="center"/>
                </w:tcPr>
                <w:p>
                  <w:pPr>
                    <w:jc w:val="left"/>
                    <w:rPr>
                      <w:color w:val="auto"/>
                      <w:sz w:val="18"/>
                      <w:szCs w:val="18"/>
                    </w:rPr>
                  </w:pPr>
                  <w:r>
                    <w:rPr>
                      <w:rFonts w:hint="eastAsia"/>
                      <w:color w:val="auto"/>
                      <w:sz w:val="18"/>
                      <w:szCs w:val="18"/>
                    </w:rPr>
                    <w:t>丰水期□；平水期□；枯水期□；冰封期</w:t>
                  </w:r>
                </w:p>
                <w:p>
                  <w:pPr>
                    <w:jc w:val="left"/>
                    <w:rPr>
                      <w:color w:val="auto"/>
                    </w:rPr>
                  </w:pPr>
                  <w:r>
                    <w:rPr>
                      <w:rFonts w:hint="eastAsia"/>
                      <w:color w:val="auto"/>
                      <w:sz w:val="18"/>
                      <w:szCs w:val="18"/>
                    </w:rPr>
                    <w:t>春季</w:t>
                  </w:r>
                  <w:r>
                    <w:rPr>
                      <w:color w:val="auto"/>
                      <w:sz w:val="18"/>
                      <w:szCs w:val="18"/>
                    </w:rPr>
                    <w:sym w:font="Wingdings 2" w:char="00A3"/>
                  </w:r>
                  <w:r>
                    <w:rPr>
                      <w:rFonts w:hint="eastAsia"/>
                      <w:color w:val="auto"/>
                      <w:sz w:val="18"/>
                      <w:szCs w:val="18"/>
                    </w:rPr>
                    <w:t>；夏季□；秋季□；冬季□</w:t>
                  </w:r>
                </w:p>
              </w:tc>
              <w:tc>
                <w:tcPr>
                  <w:tcW w:w="3245" w:type="dxa"/>
                  <w:gridSpan w:val="6"/>
                  <w:shd w:val="clear" w:color="auto" w:fill="auto"/>
                  <w:vAlign w:val="center"/>
                </w:tcPr>
                <w:p>
                  <w:pPr>
                    <w:jc w:val="left"/>
                    <w:rPr>
                      <w:color w:val="auto"/>
                    </w:rPr>
                  </w:pPr>
                  <w:r>
                    <w:rPr>
                      <w:rFonts w:hint="eastAsia"/>
                      <w:color w:val="auto"/>
                      <w:sz w:val="18"/>
                      <w:szCs w:val="18"/>
                    </w:rPr>
                    <w:t>水行政主管部门□；补充监测</w:t>
                  </w:r>
                  <w:r>
                    <w:rPr>
                      <w:color w:val="auto"/>
                      <w:sz w:val="18"/>
                      <w:szCs w:val="18"/>
                    </w:rPr>
                    <w:sym w:font="Wingdings 2" w:char="0052"/>
                  </w:r>
                  <w:r>
                    <w:rPr>
                      <w:rFonts w:hint="eastAsia"/>
                      <w:color w:val="auto"/>
                      <w:sz w:val="18"/>
                      <w:szCs w:val="18"/>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补充监测</w:t>
                  </w:r>
                </w:p>
              </w:tc>
              <w:tc>
                <w:tcPr>
                  <w:tcW w:w="2415" w:type="dxa"/>
                  <w:gridSpan w:val="4"/>
                  <w:shd w:val="clear" w:color="auto" w:fill="auto"/>
                  <w:vAlign w:val="center"/>
                </w:tcPr>
                <w:p>
                  <w:pPr>
                    <w:jc w:val="center"/>
                    <w:rPr>
                      <w:color w:val="auto"/>
                    </w:rPr>
                  </w:pPr>
                  <w:r>
                    <w:rPr>
                      <w:rFonts w:hint="eastAsia"/>
                      <w:color w:val="auto"/>
                      <w:sz w:val="18"/>
                      <w:szCs w:val="18"/>
                    </w:rPr>
                    <w:t>监测时期</w:t>
                  </w:r>
                </w:p>
              </w:tc>
              <w:tc>
                <w:tcPr>
                  <w:tcW w:w="2028" w:type="dxa"/>
                  <w:gridSpan w:val="5"/>
                  <w:shd w:val="clear" w:color="auto" w:fill="auto"/>
                  <w:vAlign w:val="center"/>
                </w:tcPr>
                <w:p>
                  <w:pPr>
                    <w:jc w:val="center"/>
                    <w:rPr>
                      <w:color w:val="auto"/>
                    </w:rPr>
                  </w:pPr>
                  <w:r>
                    <w:rPr>
                      <w:rFonts w:hint="eastAsia"/>
                      <w:color w:val="auto"/>
                      <w:sz w:val="18"/>
                      <w:szCs w:val="18"/>
                    </w:rPr>
                    <w:t>监测因子</w:t>
                  </w:r>
                </w:p>
              </w:tc>
              <w:tc>
                <w:tcPr>
                  <w:tcW w:w="2230" w:type="dxa"/>
                  <w:gridSpan w:val="3"/>
                  <w:shd w:val="clear" w:color="auto" w:fill="auto"/>
                  <w:vAlign w:val="center"/>
                </w:tcPr>
                <w:p>
                  <w:pPr>
                    <w:jc w:val="center"/>
                    <w:rPr>
                      <w:color w:val="auto"/>
                    </w:rPr>
                  </w:pPr>
                  <w:r>
                    <w:rPr>
                      <w:rFonts w:hint="eastAsia"/>
                      <w:color w:val="auto"/>
                      <w:sz w:val="18"/>
                      <w:szCs w:val="18"/>
                    </w:rPr>
                    <w:t>监测断面或点位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2415" w:type="dxa"/>
                  <w:gridSpan w:val="4"/>
                  <w:shd w:val="clear" w:color="auto" w:fill="auto"/>
                  <w:vAlign w:val="center"/>
                </w:tcPr>
                <w:p>
                  <w:pPr>
                    <w:jc w:val="left"/>
                    <w:rPr>
                      <w:color w:val="auto"/>
                      <w:sz w:val="18"/>
                      <w:szCs w:val="18"/>
                    </w:rPr>
                  </w:pPr>
                  <w:r>
                    <w:rPr>
                      <w:rFonts w:hint="eastAsia"/>
                      <w:color w:val="auto"/>
                      <w:sz w:val="18"/>
                      <w:szCs w:val="18"/>
                    </w:rPr>
                    <w:t>丰水期□；平水期□；枯水期</w:t>
                  </w:r>
                  <w:r>
                    <w:rPr>
                      <w:rFonts w:hint="eastAsia"/>
                      <w:color w:val="auto"/>
                      <w:sz w:val="18"/>
                      <w:szCs w:val="18"/>
                    </w:rPr>
                    <w:sym w:font="Wingdings 2" w:char="0052"/>
                  </w:r>
                  <w:r>
                    <w:rPr>
                      <w:rFonts w:hint="eastAsia"/>
                      <w:color w:val="auto"/>
                      <w:sz w:val="18"/>
                      <w:szCs w:val="18"/>
                    </w:rPr>
                    <w:t>；冰封期□</w:t>
                  </w:r>
                </w:p>
                <w:p>
                  <w:pPr>
                    <w:jc w:val="left"/>
                    <w:rPr>
                      <w:color w:val="auto"/>
                    </w:rPr>
                  </w:pPr>
                  <w:r>
                    <w:rPr>
                      <w:rFonts w:hint="eastAsia"/>
                      <w:color w:val="auto"/>
                      <w:sz w:val="18"/>
                      <w:szCs w:val="18"/>
                    </w:rPr>
                    <w:t>春季</w:t>
                  </w:r>
                  <w:r>
                    <w:rPr>
                      <w:color w:val="auto"/>
                      <w:sz w:val="18"/>
                      <w:szCs w:val="18"/>
                    </w:rPr>
                    <w:sym w:font="Wingdings 2" w:char="00A3"/>
                  </w:r>
                  <w:r>
                    <w:rPr>
                      <w:rFonts w:hint="eastAsia"/>
                      <w:color w:val="auto"/>
                      <w:sz w:val="18"/>
                      <w:szCs w:val="18"/>
                    </w:rPr>
                    <w:t>；夏季□；秋季</w:t>
                  </w:r>
                  <w:r>
                    <w:rPr>
                      <w:rFonts w:hint="eastAsia"/>
                      <w:color w:val="auto"/>
                      <w:sz w:val="18"/>
                      <w:szCs w:val="18"/>
                    </w:rPr>
                    <w:sym w:font="Wingdings 2" w:char="0052"/>
                  </w:r>
                  <w:r>
                    <w:rPr>
                      <w:rFonts w:hint="eastAsia"/>
                      <w:color w:val="auto"/>
                      <w:sz w:val="18"/>
                      <w:szCs w:val="18"/>
                    </w:rPr>
                    <w:t>；冬季</w:t>
                  </w:r>
                  <w:r>
                    <w:rPr>
                      <w:rFonts w:hint="eastAsia"/>
                      <w:color w:val="auto"/>
                      <w:sz w:val="18"/>
                      <w:szCs w:val="18"/>
                    </w:rPr>
                    <w:sym w:font="Wingdings 2" w:char="0052"/>
                  </w:r>
                </w:p>
              </w:tc>
              <w:tc>
                <w:tcPr>
                  <w:tcW w:w="2028" w:type="dxa"/>
                  <w:gridSpan w:val="5"/>
                  <w:shd w:val="clear" w:color="auto" w:fill="auto"/>
                  <w:vAlign w:val="center"/>
                </w:tcPr>
                <w:p>
                  <w:pPr>
                    <w:jc w:val="center"/>
                    <w:rPr>
                      <w:color w:val="auto"/>
                    </w:rPr>
                  </w:pPr>
                  <w:r>
                    <w:rPr>
                      <w:rFonts w:hint="eastAsia"/>
                      <w:color w:val="auto"/>
                      <w:sz w:val="18"/>
                      <w:szCs w:val="18"/>
                    </w:rPr>
                    <w:t>（</w:t>
                  </w:r>
                  <w:r>
                    <w:rPr>
                      <w:color w:val="auto"/>
                      <w:sz w:val="18"/>
                      <w:szCs w:val="18"/>
                      <w:lang w:val="en-GB"/>
                    </w:rPr>
                    <w:t>水温</w:t>
                  </w:r>
                  <w:r>
                    <w:rPr>
                      <w:rFonts w:hint="eastAsia"/>
                      <w:color w:val="auto"/>
                      <w:sz w:val="18"/>
                      <w:szCs w:val="18"/>
                      <w:lang w:val="en-GB"/>
                    </w:rPr>
                    <w:t>、</w:t>
                  </w:r>
                  <w:r>
                    <w:rPr>
                      <w:color w:val="auto"/>
                      <w:sz w:val="18"/>
                      <w:szCs w:val="18"/>
                      <w:lang w:val="en-GB"/>
                    </w:rPr>
                    <w:t>pH、</w:t>
                  </w:r>
                  <w:r>
                    <w:rPr>
                      <w:rFonts w:hint="eastAsia"/>
                      <w:color w:val="auto"/>
                      <w:sz w:val="18"/>
                      <w:szCs w:val="18"/>
                      <w:lang w:val="en-GB"/>
                    </w:rPr>
                    <w:t>SS、DO、</w:t>
                  </w:r>
                  <w:r>
                    <w:rPr>
                      <w:color w:val="auto"/>
                      <w:sz w:val="18"/>
                      <w:szCs w:val="18"/>
                      <w:lang w:val="en-GB"/>
                    </w:rPr>
                    <w:t>COD、BOD</w:t>
                  </w:r>
                  <w:r>
                    <w:rPr>
                      <w:color w:val="auto"/>
                      <w:sz w:val="18"/>
                      <w:szCs w:val="18"/>
                      <w:vertAlign w:val="subscript"/>
                      <w:lang w:val="en-GB"/>
                    </w:rPr>
                    <w:t>5</w:t>
                  </w:r>
                  <w:r>
                    <w:rPr>
                      <w:color w:val="auto"/>
                      <w:sz w:val="18"/>
                      <w:szCs w:val="18"/>
                      <w:lang w:val="en-GB"/>
                    </w:rPr>
                    <w:t>、</w:t>
                  </w:r>
                  <w:r>
                    <w:rPr>
                      <w:rFonts w:hint="eastAsia"/>
                      <w:color w:val="auto"/>
                      <w:sz w:val="18"/>
                      <w:szCs w:val="18"/>
                      <w:lang w:val="en-GB"/>
                    </w:rPr>
                    <w:t>氨氮</w:t>
                  </w:r>
                  <w:r>
                    <w:rPr>
                      <w:rFonts w:hint="eastAsia"/>
                      <w:color w:val="auto"/>
                      <w:sz w:val="18"/>
                      <w:szCs w:val="18"/>
                      <w:lang w:val="en-GB"/>
                    </w:rPr>
                    <w:tab/>
                  </w:r>
                  <w:r>
                    <w:rPr>
                      <w:rFonts w:hint="eastAsia"/>
                      <w:color w:val="auto"/>
                      <w:sz w:val="18"/>
                      <w:szCs w:val="18"/>
                      <w:lang w:val="en-GB"/>
                    </w:rPr>
                    <w:t>、挥发酚、总磷、石油类、LAS、粪大肠菌群（MPN/L）</w:t>
                  </w:r>
                </w:p>
              </w:tc>
              <w:tc>
                <w:tcPr>
                  <w:tcW w:w="2230" w:type="dxa"/>
                  <w:gridSpan w:val="3"/>
                  <w:shd w:val="clear" w:color="auto" w:fill="auto"/>
                  <w:vAlign w:val="center"/>
                </w:tcPr>
                <w:p>
                  <w:pPr>
                    <w:jc w:val="center"/>
                    <w:rPr>
                      <w:color w:val="auto"/>
                      <w:sz w:val="18"/>
                      <w:szCs w:val="18"/>
                    </w:rPr>
                  </w:pPr>
                  <w:r>
                    <w:rPr>
                      <w:rFonts w:hint="eastAsia"/>
                      <w:color w:val="auto"/>
                      <w:sz w:val="18"/>
                      <w:szCs w:val="18"/>
                    </w:rPr>
                    <w:t>监测断面或点位个数</w:t>
                  </w:r>
                </w:p>
                <w:p>
                  <w:pPr>
                    <w:jc w:val="center"/>
                    <w:rPr>
                      <w:color w:val="auto"/>
                    </w:rPr>
                  </w:pPr>
                  <w:r>
                    <w:rPr>
                      <w:rFonts w:hint="eastAsia"/>
                      <w:color w:val="auto"/>
                      <w:sz w:val="18"/>
                      <w:szCs w:val="18"/>
                    </w:rPr>
                    <w:t>（4）个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现</w:t>
                  </w:r>
                </w:p>
                <w:p>
                  <w:pPr>
                    <w:jc w:val="center"/>
                    <w:rPr>
                      <w:color w:val="auto"/>
                      <w:sz w:val="18"/>
                      <w:szCs w:val="18"/>
                    </w:rPr>
                  </w:pPr>
                  <w:r>
                    <w:rPr>
                      <w:rFonts w:hint="eastAsia"/>
                      <w:color w:val="auto"/>
                      <w:sz w:val="18"/>
                      <w:szCs w:val="18"/>
                    </w:rPr>
                    <w:t>状</w:t>
                  </w:r>
                </w:p>
                <w:p>
                  <w:pPr>
                    <w:jc w:val="center"/>
                    <w:rPr>
                      <w:color w:val="auto"/>
                      <w:sz w:val="18"/>
                      <w:szCs w:val="18"/>
                    </w:rPr>
                  </w:pPr>
                  <w:r>
                    <w:rPr>
                      <w:rFonts w:hint="eastAsia"/>
                      <w:color w:val="auto"/>
                      <w:sz w:val="18"/>
                      <w:szCs w:val="18"/>
                    </w:rPr>
                    <w:t>评</w:t>
                  </w:r>
                </w:p>
                <w:p>
                  <w:pPr>
                    <w:jc w:val="center"/>
                    <w:rPr>
                      <w:color w:val="auto"/>
                    </w:rPr>
                  </w:pPr>
                  <w:r>
                    <w:rPr>
                      <w:rFonts w:hint="eastAsia"/>
                      <w:color w:val="auto"/>
                      <w:sz w:val="18"/>
                      <w:szCs w:val="18"/>
                    </w:rPr>
                    <w:t>价</w:t>
                  </w:r>
                </w:p>
              </w:tc>
              <w:tc>
                <w:tcPr>
                  <w:tcW w:w="1315" w:type="dxa"/>
                  <w:shd w:val="clear" w:color="auto" w:fill="auto"/>
                  <w:vAlign w:val="center"/>
                </w:tcPr>
                <w:p>
                  <w:pPr>
                    <w:jc w:val="center"/>
                    <w:rPr>
                      <w:color w:val="auto"/>
                    </w:rPr>
                  </w:pPr>
                  <w:r>
                    <w:rPr>
                      <w:rFonts w:hint="eastAsia"/>
                      <w:color w:val="auto"/>
                      <w:sz w:val="18"/>
                      <w:szCs w:val="18"/>
                    </w:rPr>
                    <w:t>评价范围</w:t>
                  </w:r>
                </w:p>
              </w:tc>
              <w:tc>
                <w:tcPr>
                  <w:tcW w:w="6673" w:type="dxa"/>
                  <w:gridSpan w:val="12"/>
                  <w:shd w:val="clear" w:color="auto" w:fill="auto"/>
                  <w:vAlign w:val="center"/>
                </w:tcPr>
                <w:p>
                  <w:pPr>
                    <w:jc w:val="left"/>
                    <w:rPr>
                      <w:color w:val="auto"/>
                    </w:rPr>
                  </w:pPr>
                  <w:r>
                    <w:rPr>
                      <w:rFonts w:hint="eastAsia"/>
                      <w:color w:val="auto"/>
                      <w:sz w:val="18"/>
                      <w:szCs w:val="18"/>
                    </w:rPr>
                    <w:t>河流：长度（3.0）km；湖库、河口及近岸海域：面积（/）km</w:t>
                  </w:r>
                  <w:r>
                    <w:rPr>
                      <w:rFonts w:hint="eastAsia"/>
                      <w:color w:val="auto"/>
                      <w:sz w:val="18"/>
                      <w:szCs w:val="18"/>
                      <w:vertAlign w:val="superscript"/>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评价因子</w:t>
                  </w:r>
                </w:p>
              </w:tc>
              <w:tc>
                <w:tcPr>
                  <w:tcW w:w="6673" w:type="dxa"/>
                  <w:gridSpan w:val="12"/>
                  <w:shd w:val="clear" w:color="auto" w:fill="auto"/>
                  <w:vAlign w:val="center"/>
                </w:tcPr>
                <w:p>
                  <w:pPr>
                    <w:jc w:val="center"/>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评价标准</w:t>
                  </w:r>
                </w:p>
              </w:tc>
              <w:tc>
                <w:tcPr>
                  <w:tcW w:w="6673" w:type="dxa"/>
                  <w:gridSpan w:val="12"/>
                  <w:shd w:val="clear" w:color="auto" w:fill="auto"/>
                  <w:vAlign w:val="center"/>
                </w:tcPr>
                <w:p>
                  <w:pPr>
                    <w:jc w:val="left"/>
                    <w:rPr>
                      <w:color w:val="auto"/>
                      <w:sz w:val="18"/>
                      <w:szCs w:val="18"/>
                    </w:rPr>
                  </w:pPr>
                  <w:r>
                    <w:rPr>
                      <w:rFonts w:hint="eastAsia"/>
                      <w:color w:val="auto"/>
                      <w:sz w:val="18"/>
                      <w:szCs w:val="18"/>
                    </w:rPr>
                    <w:t>河流、湖库、河口：Ⅰ类□；Ⅱ类</w:t>
                  </w:r>
                  <w:r>
                    <w:rPr>
                      <w:color w:val="auto"/>
                      <w:sz w:val="18"/>
                      <w:szCs w:val="18"/>
                    </w:rPr>
                    <w:sym w:font="Wingdings 2" w:char="00A3"/>
                  </w:r>
                  <w:r>
                    <w:rPr>
                      <w:rFonts w:hint="eastAsia"/>
                      <w:color w:val="auto"/>
                      <w:sz w:val="18"/>
                      <w:szCs w:val="18"/>
                    </w:rPr>
                    <w:t>；Ⅲ类□；Ⅳ类□；Ⅴ类</w:t>
                  </w:r>
                  <w:r>
                    <w:rPr>
                      <w:rFonts w:hint="eastAsia"/>
                      <w:color w:val="auto"/>
                      <w:sz w:val="18"/>
                      <w:szCs w:val="18"/>
                    </w:rPr>
                    <w:sym w:font="Wingdings 2" w:char="0052"/>
                  </w:r>
                </w:p>
                <w:p>
                  <w:pPr>
                    <w:jc w:val="left"/>
                    <w:rPr>
                      <w:color w:val="auto"/>
                      <w:sz w:val="18"/>
                      <w:szCs w:val="18"/>
                    </w:rPr>
                  </w:pPr>
                  <w:r>
                    <w:rPr>
                      <w:rFonts w:hint="eastAsia"/>
                      <w:color w:val="auto"/>
                      <w:sz w:val="18"/>
                      <w:szCs w:val="18"/>
                    </w:rPr>
                    <w:t>近岸海域：第一类□；第二类□；第三类□；第四类□</w:t>
                  </w:r>
                </w:p>
                <w:p>
                  <w:pPr>
                    <w:jc w:val="left"/>
                    <w:rPr>
                      <w:color w:val="auto"/>
                    </w:rPr>
                  </w:pPr>
                  <w:r>
                    <w:rPr>
                      <w:rFonts w:hint="eastAsia"/>
                      <w:color w:val="auto"/>
                      <w:sz w:val="18"/>
                      <w:szCs w:val="18"/>
                    </w:rPr>
                    <w:t>规划年评价标准（/）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评价时期</w:t>
                  </w:r>
                </w:p>
              </w:tc>
              <w:tc>
                <w:tcPr>
                  <w:tcW w:w="6673" w:type="dxa"/>
                  <w:gridSpan w:val="12"/>
                  <w:shd w:val="clear" w:color="auto" w:fill="auto"/>
                  <w:vAlign w:val="center"/>
                </w:tcPr>
                <w:p>
                  <w:pPr>
                    <w:jc w:val="left"/>
                    <w:rPr>
                      <w:color w:val="auto"/>
                      <w:sz w:val="18"/>
                      <w:szCs w:val="18"/>
                    </w:rPr>
                  </w:pPr>
                  <w:r>
                    <w:rPr>
                      <w:rFonts w:hint="eastAsia"/>
                      <w:color w:val="auto"/>
                      <w:sz w:val="18"/>
                      <w:szCs w:val="18"/>
                    </w:rPr>
                    <w:t>丰水期□；平水期□；枯水期</w:t>
                  </w:r>
                  <w:r>
                    <w:rPr>
                      <w:rFonts w:hint="eastAsia"/>
                      <w:color w:val="auto"/>
                      <w:sz w:val="18"/>
                      <w:szCs w:val="18"/>
                    </w:rPr>
                    <w:sym w:font="Wingdings 2" w:char="00A3"/>
                  </w:r>
                  <w:r>
                    <w:rPr>
                      <w:rFonts w:hint="eastAsia"/>
                      <w:color w:val="auto"/>
                      <w:sz w:val="18"/>
                      <w:szCs w:val="18"/>
                    </w:rPr>
                    <w:t>；冰封期□</w:t>
                  </w:r>
                </w:p>
                <w:p>
                  <w:pPr>
                    <w:jc w:val="left"/>
                    <w:rPr>
                      <w:color w:val="auto"/>
                    </w:rPr>
                  </w:pPr>
                  <w:r>
                    <w:rPr>
                      <w:rFonts w:hint="eastAsia"/>
                      <w:color w:val="auto"/>
                      <w:sz w:val="18"/>
                      <w:szCs w:val="18"/>
                    </w:rPr>
                    <w:t>春季</w:t>
                  </w:r>
                  <w:r>
                    <w:rPr>
                      <w:color w:val="auto"/>
                      <w:sz w:val="18"/>
                      <w:szCs w:val="18"/>
                    </w:rPr>
                    <w:sym w:font="Wingdings 2" w:char="00A3"/>
                  </w:r>
                  <w:r>
                    <w:rPr>
                      <w:rFonts w:hint="eastAsia"/>
                      <w:color w:val="auto"/>
                      <w:sz w:val="18"/>
                      <w:szCs w:val="18"/>
                    </w:rPr>
                    <w:t>；夏季□；秋季</w:t>
                  </w:r>
                  <w:r>
                    <w:rPr>
                      <w:rFonts w:hint="eastAsia"/>
                      <w:color w:val="auto"/>
                      <w:sz w:val="18"/>
                      <w:szCs w:val="18"/>
                    </w:rPr>
                    <w:sym w:font="Wingdings 2" w:char="00A3"/>
                  </w:r>
                  <w:r>
                    <w:rPr>
                      <w:rFonts w:hint="eastAsia"/>
                      <w:color w:val="auto"/>
                      <w:sz w:val="18"/>
                      <w:szCs w:val="18"/>
                    </w:rPr>
                    <w:t>；冬季</w:t>
                  </w:r>
                  <w:r>
                    <w:rPr>
                      <w:rFonts w:hint="eastAsia"/>
                      <w:color w:val="auto"/>
                      <w:sz w:val="18"/>
                      <w:szCs w:val="18"/>
                    </w:rPr>
                    <w:sym w:font="Wingdings 2" w:char="00A3"/>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评价结论</w:t>
                  </w:r>
                </w:p>
              </w:tc>
              <w:tc>
                <w:tcPr>
                  <w:tcW w:w="5310" w:type="dxa"/>
                  <w:gridSpan w:val="11"/>
                  <w:shd w:val="clear" w:color="auto" w:fill="auto"/>
                  <w:vAlign w:val="center"/>
                </w:tcPr>
                <w:p>
                  <w:pPr>
                    <w:jc w:val="left"/>
                    <w:rPr>
                      <w:color w:val="auto"/>
                      <w:sz w:val="18"/>
                      <w:szCs w:val="18"/>
                    </w:rPr>
                  </w:pPr>
                  <w:r>
                    <w:rPr>
                      <w:rFonts w:hint="eastAsia"/>
                      <w:color w:val="auto"/>
                      <w:sz w:val="18"/>
                      <w:szCs w:val="18"/>
                    </w:rPr>
                    <w:t>水环境功能区或水功能区、近岸海域环境功能区水质达标状况：达标□；不达标</w:t>
                  </w:r>
                  <w:r>
                    <w:rPr>
                      <w:color w:val="auto"/>
                      <w:sz w:val="18"/>
                      <w:szCs w:val="18"/>
                    </w:rPr>
                    <w:sym w:font="Wingdings 2" w:char="0052"/>
                  </w:r>
                </w:p>
                <w:p>
                  <w:pPr>
                    <w:jc w:val="left"/>
                    <w:rPr>
                      <w:color w:val="auto"/>
                      <w:sz w:val="18"/>
                      <w:szCs w:val="18"/>
                    </w:rPr>
                  </w:pPr>
                  <w:r>
                    <w:rPr>
                      <w:rFonts w:hint="eastAsia"/>
                      <w:color w:val="auto"/>
                      <w:sz w:val="18"/>
                      <w:szCs w:val="18"/>
                    </w:rPr>
                    <w:t>水环境控制单元或断面水质达标状况</w:t>
                  </w:r>
                  <w:r>
                    <w:rPr>
                      <w:rFonts w:hint="eastAsia"/>
                      <w:color w:val="auto"/>
                      <w:sz w:val="18"/>
                      <w:szCs w:val="18"/>
                    </w:rPr>
                    <w:sym w:font="Wingdings 2" w:char="0052"/>
                  </w:r>
                  <w:r>
                    <w:rPr>
                      <w:rFonts w:hint="eastAsia"/>
                      <w:color w:val="auto"/>
                      <w:sz w:val="18"/>
                      <w:szCs w:val="18"/>
                    </w:rPr>
                    <w:t>：达标□；不达标</w:t>
                  </w:r>
                  <w:r>
                    <w:rPr>
                      <w:color w:val="auto"/>
                      <w:sz w:val="18"/>
                      <w:szCs w:val="18"/>
                    </w:rPr>
                    <w:sym w:font="Wingdings 2" w:char="0052"/>
                  </w:r>
                </w:p>
                <w:p>
                  <w:pPr>
                    <w:jc w:val="left"/>
                    <w:rPr>
                      <w:color w:val="auto"/>
                      <w:sz w:val="18"/>
                      <w:szCs w:val="18"/>
                    </w:rPr>
                  </w:pPr>
                  <w:r>
                    <w:rPr>
                      <w:rFonts w:hint="eastAsia"/>
                      <w:color w:val="auto"/>
                      <w:sz w:val="18"/>
                      <w:szCs w:val="18"/>
                    </w:rPr>
                    <w:t>水环境保护目标质量状况：达标□；不达标</w:t>
                  </w:r>
                  <w:r>
                    <w:rPr>
                      <w:rFonts w:hint="eastAsia"/>
                      <w:color w:val="auto"/>
                      <w:sz w:val="18"/>
                      <w:szCs w:val="18"/>
                    </w:rPr>
                    <w:sym w:font="Wingdings 2" w:char="0052"/>
                  </w:r>
                </w:p>
                <w:p>
                  <w:pPr>
                    <w:jc w:val="left"/>
                    <w:rPr>
                      <w:color w:val="auto"/>
                      <w:sz w:val="18"/>
                      <w:szCs w:val="18"/>
                    </w:rPr>
                  </w:pPr>
                  <w:r>
                    <w:rPr>
                      <w:rFonts w:hint="eastAsia"/>
                      <w:color w:val="auto"/>
                      <w:sz w:val="18"/>
                      <w:szCs w:val="18"/>
                    </w:rPr>
                    <w:t>对照断面、控制断面等代表性断面的水质状况：达标□；不达标</w:t>
                  </w:r>
                  <w:r>
                    <w:rPr>
                      <w:color w:val="auto"/>
                      <w:sz w:val="18"/>
                      <w:szCs w:val="18"/>
                    </w:rPr>
                    <w:sym w:font="Wingdings 2" w:char="0052"/>
                  </w:r>
                </w:p>
                <w:p>
                  <w:pPr>
                    <w:jc w:val="left"/>
                    <w:rPr>
                      <w:color w:val="auto"/>
                      <w:sz w:val="18"/>
                      <w:szCs w:val="18"/>
                    </w:rPr>
                  </w:pPr>
                  <w:r>
                    <w:rPr>
                      <w:rFonts w:hint="eastAsia"/>
                      <w:color w:val="auto"/>
                      <w:sz w:val="18"/>
                      <w:szCs w:val="18"/>
                    </w:rPr>
                    <w:t>底泥污染评价□</w:t>
                  </w:r>
                </w:p>
                <w:p>
                  <w:pPr>
                    <w:jc w:val="left"/>
                    <w:rPr>
                      <w:color w:val="auto"/>
                      <w:sz w:val="18"/>
                      <w:szCs w:val="18"/>
                    </w:rPr>
                  </w:pPr>
                  <w:r>
                    <w:rPr>
                      <w:rFonts w:hint="eastAsia"/>
                      <w:color w:val="auto"/>
                      <w:sz w:val="18"/>
                      <w:szCs w:val="18"/>
                    </w:rPr>
                    <w:t>水资源与开发利用程度及其水文情势评价□</w:t>
                  </w:r>
                </w:p>
                <w:p>
                  <w:pPr>
                    <w:jc w:val="left"/>
                    <w:rPr>
                      <w:color w:val="auto"/>
                      <w:sz w:val="18"/>
                      <w:szCs w:val="18"/>
                    </w:rPr>
                  </w:pPr>
                  <w:r>
                    <w:rPr>
                      <w:rFonts w:hint="eastAsia"/>
                      <w:color w:val="auto"/>
                      <w:sz w:val="18"/>
                      <w:szCs w:val="18"/>
                    </w:rPr>
                    <w:t>水环境质量回顾评价□</w:t>
                  </w:r>
                </w:p>
                <w:p>
                  <w:pPr>
                    <w:jc w:val="left"/>
                    <w:rPr>
                      <w:color w:val="auto"/>
                    </w:rPr>
                  </w:pPr>
                  <w:r>
                    <w:rPr>
                      <w:rFonts w:hint="eastAsia"/>
                      <w:color w:val="auto"/>
                      <w:sz w:val="18"/>
                      <w:szCs w:val="18"/>
                    </w:rPr>
                    <w:t>流域（区域）水资源（包括水能资源）与开发利用总体状况、生态流量管理要求与现状满足程度、建设项目占用水域空间的水流状况与河湖演变状况□</w:t>
                  </w:r>
                </w:p>
              </w:tc>
              <w:tc>
                <w:tcPr>
                  <w:tcW w:w="1363" w:type="dxa"/>
                  <w:shd w:val="clear" w:color="auto" w:fill="auto"/>
                  <w:vAlign w:val="center"/>
                </w:tcPr>
                <w:p>
                  <w:pPr>
                    <w:jc w:val="center"/>
                    <w:rPr>
                      <w:color w:val="auto"/>
                      <w:sz w:val="18"/>
                      <w:szCs w:val="18"/>
                    </w:rPr>
                  </w:pPr>
                  <w:r>
                    <w:rPr>
                      <w:rFonts w:hint="eastAsia"/>
                      <w:color w:val="auto"/>
                      <w:sz w:val="18"/>
                      <w:szCs w:val="18"/>
                    </w:rPr>
                    <w:t>达标区□</w:t>
                  </w:r>
                </w:p>
                <w:p>
                  <w:pPr>
                    <w:jc w:val="center"/>
                    <w:rPr>
                      <w:color w:val="auto"/>
                    </w:rPr>
                  </w:pPr>
                  <w:r>
                    <w:rPr>
                      <w:rFonts w:hint="eastAsia"/>
                      <w:color w:val="auto"/>
                      <w:sz w:val="18"/>
                      <w:szCs w:val="18"/>
                    </w:rPr>
                    <w:t>不达标区</w:t>
                  </w:r>
                  <w:r>
                    <w:rPr>
                      <w:color w:val="auto"/>
                      <w:sz w:val="18"/>
                      <w:szCs w:val="18"/>
                    </w:rPr>
                    <w:sym w:font="Wingdings 2" w:char="0052"/>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预</w:t>
                  </w:r>
                </w:p>
                <w:p>
                  <w:pPr>
                    <w:jc w:val="center"/>
                    <w:rPr>
                      <w:color w:val="auto"/>
                    </w:rPr>
                  </w:pPr>
                  <w:r>
                    <w:rPr>
                      <w:rFonts w:hint="eastAsia"/>
                      <w:color w:val="auto"/>
                      <w:sz w:val="18"/>
                      <w:szCs w:val="18"/>
                    </w:rPr>
                    <w:t>测</w:t>
                  </w:r>
                </w:p>
              </w:tc>
              <w:tc>
                <w:tcPr>
                  <w:tcW w:w="1315" w:type="dxa"/>
                  <w:shd w:val="clear" w:color="auto" w:fill="auto"/>
                  <w:vAlign w:val="center"/>
                </w:tcPr>
                <w:p>
                  <w:pPr>
                    <w:jc w:val="center"/>
                    <w:rPr>
                      <w:color w:val="auto"/>
                    </w:rPr>
                  </w:pPr>
                  <w:r>
                    <w:rPr>
                      <w:rFonts w:hint="eastAsia"/>
                      <w:color w:val="auto"/>
                      <w:sz w:val="18"/>
                      <w:szCs w:val="18"/>
                    </w:rPr>
                    <w:t>预测范围</w:t>
                  </w:r>
                </w:p>
              </w:tc>
              <w:tc>
                <w:tcPr>
                  <w:tcW w:w="6673" w:type="dxa"/>
                  <w:gridSpan w:val="12"/>
                  <w:shd w:val="clear" w:color="auto" w:fill="auto"/>
                  <w:vAlign w:val="center"/>
                </w:tcPr>
                <w:p>
                  <w:pPr>
                    <w:jc w:val="left"/>
                    <w:rPr>
                      <w:color w:val="auto"/>
                    </w:rPr>
                  </w:pPr>
                  <w:r>
                    <w:rPr>
                      <w:rFonts w:hint="eastAsia"/>
                      <w:color w:val="auto"/>
                      <w:sz w:val="18"/>
                      <w:szCs w:val="18"/>
                    </w:rPr>
                    <w:t>河流：长度（/）km；湖库、河口及近岸海域：面积（/）km</w:t>
                  </w:r>
                  <w:r>
                    <w:rPr>
                      <w:rFonts w:hint="eastAsia"/>
                      <w:color w:val="auto"/>
                      <w:sz w:val="18"/>
                      <w:szCs w:val="18"/>
                      <w:vertAlign w:val="superscript"/>
                    </w:rP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预测因子</w:t>
                  </w:r>
                </w:p>
              </w:tc>
              <w:tc>
                <w:tcPr>
                  <w:tcW w:w="6673" w:type="dxa"/>
                  <w:gridSpan w:val="12"/>
                  <w:shd w:val="clear" w:color="auto" w:fill="auto"/>
                  <w:vAlign w:val="center"/>
                </w:tcPr>
                <w:p>
                  <w:pPr>
                    <w:jc w:val="left"/>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预测时期</w:t>
                  </w:r>
                </w:p>
              </w:tc>
              <w:tc>
                <w:tcPr>
                  <w:tcW w:w="6673" w:type="dxa"/>
                  <w:gridSpan w:val="12"/>
                  <w:shd w:val="clear" w:color="auto" w:fill="auto"/>
                  <w:vAlign w:val="center"/>
                </w:tcPr>
                <w:p>
                  <w:pPr>
                    <w:jc w:val="left"/>
                    <w:rPr>
                      <w:color w:val="auto"/>
                      <w:sz w:val="18"/>
                      <w:szCs w:val="18"/>
                    </w:rPr>
                  </w:pPr>
                  <w:r>
                    <w:rPr>
                      <w:rFonts w:hint="eastAsia"/>
                      <w:color w:val="auto"/>
                      <w:sz w:val="18"/>
                      <w:szCs w:val="18"/>
                    </w:rPr>
                    <w:t>丰水期□；平水期□；枯水期□；冰封期□</w:t>
                  </w:r>
                </w:p>
                <w:p>
                  <w:pPr>
                    <w:jc w:val="left"/>
                    <w:rPr>
                      <w:color w:val="auto"/>
                      <w:sz w:val="18"/>
                      <w:szCs w:val="18"/>
                    </w:rPr>
                  </w:pPr>
                  <w:r>
                    <w:rPr>
                      <w:rFonts w:hint="eastAsia"/>
                      <w:color w:val="auto"/>
                      <w:sz w:val="18"/>
                      <w:szCs w:val="18"/>
                    </w:rPr>
                    <w:t>春季□；夏季□；秋季□；冬季□</w:t>
                  </w:r>
                </w:p>
                <w:p>
                  <w:pPr>
                    <w:jc w:val="left"/>
                    <w:rPr>
                      <w:color w:val="auto"/>
                    </w:rPr>
                  </w:pPr>
                  <w:r>
                    <w:rPr>
                      <w:rFonts w:hint="eastAsia"/>
                      <w:color w:val="auto"/>
                      <w:sz w:val="18"/>
                      <w:szCs w:val="18"/>
                    </w:rPr>
                    <w:t>设计水文条件□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预测情景</w:t>
                  </w:r>
                </w:p>
              </w:tc>
              <w:tc>
                <w:tcPr>
                  <w:tcW w:w="6673" w:type="dxa"/>
                  <w:gridSpan w:val="12"/>
                  <w:shd w:val="clear" w:color="auto" w:fill="auto"/>
                  <w:vAlign w:val="center"/>
                </w:tcPr>
                <w:p>
                  <w:pPr>
                    <w:jc w:val="left"/>
                    <w:rPr>
                      <w:color w:val="auto"/>
                      <w:sz w:val="18"/>
                      <w:szCs w:val="18"/>
                    </w:rPr>
                  </w:pPr>
                  <w:r>
                    <w:rPr>
                      <w:rFonts w:hint="eastAsia"/>
                      <w:color w:val="auto"/>
                      <w:sz w:val="18"/>
                      <w:szCs w:val="18"/>
                    </w:rPr>
                    <w:t>建设期□；生产运行期□；服务期满后□</w:t>
                  </w:r>
                </w:p>
                <w:p>
                  <w:pPr>
                    <w:jc w:val="left"/>
                    <w:rPr>
                      <w:color w:val="auto"/>
                      <w:sz w:val="18"/>
                      <w:szCs w:val="18"/>
                    </w:rPr>
                  </w:pPr>
                  <w:r>
                    <w:rPr>
                      <w:rFonts w:hint="eastAsia"/>
                      <w:color w:val="auto"/>
                      <w:sz w:val="18"/>
                      <w:szCs w:val="18"/>
                    </w:rPr>
                    <w:t>正常工况□；非正常工况□</w:t>
                  </w:r>
                </w:p>
                <w:p>
                  <w:pPr>
                    <w:jc w:val="left"/>
                    <w:rPr>
                      <w:color w:val="auto"/>
                      <w:sz w:val="18"/>
                      <w:szCs w:val="18"/>
                    </w:rPr>
                  </w:pPr>
                  <w:r>
                    <w:rPr>
                      <w:rFonts w:hint="eastAsia"/>
                      <w:color w:val="auto"/>
                      <w:sz w:val="18"/>
                      <w:szCs w:val="18"/>
                    </w:rPr>
                    <w:t>污染控制和减缓措施方案□</w:t>
                  </w:r>
                </w:p>
                <w:p>
                  <w:pPr>
                    <w:jc w:val="left"/>
                    <w:rPr>
                      <w:color w:val="auto"/>
                    </w:rPr>
                  </w:pPr>
                  <w:r>
                    <w:rPr>
                      <w:rFonts w:hint="eastAsia"/>
                      <w:color w:val="auto"/>
                      <w:sz w:val="18"/>
                      <w:szCs w:val="18"/>
                    </w:rPr>
                    <w:t>区（流）域环境质量改善目标要求情景□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预测方法</w:t>
                  </w:r>
                </w:p>
              </w:tc>
              <w:tc>
                <w:tcPr>
                  <w:tcW w:w="6673" w:type="dxa"/>
                  <w:gridSpan w:val="12"/>
                  <w:shd w:val="clear" w:color="auto" w:fill="auto"/>
                  <w:vAlign w:val="center"/>
                </w:tcPr>
                <w:p>
                  <w:pPr>
                    <w:jc w:val="left"/>
                    <w:rPr>
                      <w:color w:val="auto"/>
                      <w:sz w:val="18"/>
                      <w:szCs w:val="18"/>
                    </w:rPr>
                  </w:pPr>
                  <w:r>
                    <w:rPr>
                      <w:rFonts w:hint="eastAsia"/>
                      <w:color w:val="auto"/>
                      <w:sz w:val="18"/>
                      <w:szCs w:val="18"/>
                    </w:rPr>
                    <w:t>数值解□：解析解□；其他□</w:t>
                  </w:r>
                </w:p>
                <w:p>
                  <w:pPr>
                    <w:jc w:val="left"/>
                    <w:rPr>
                      <w:color w:val="auto"/>
                    </w:rPr>
                  </w:pPr>
                  <w:r>
                    <w:rPr>
                      <w:rFonts w:hint="eastAsia"/>
                      <w:color w:val="auto"/>
                      <w:sz w:val="18"/>
                      <w:szCs w:val="18"/>
                    </w:rPr>
                    <w:t>导则推荐模式□：其他□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影</w:t>
                  </w:r>
                </w:p>
                <w:p>
                  <w:pPr>
                    <w:jc w:val="center"/>
                    <w:rPr>
                      <w:color w:val="auto"/>
                      <w:sz w:val="18"/>
                      <w:szCs w:val="18"/>
                    </w:rPr>
                  </w:pPr>
                  <w:r>
                    <w:rPr>
                      <w:rFonts w:hint="eastAsia"/>
                      <w:color w:val="auto"/>
                      <w:sz w:val="18"/>
                      <w:szCs w:val="18"/>
                    </w:rPr>
                    <w:t>响</w:t>
                  </w:r>
                </w:p>
                <w:p>
                  <w:pPr>
                    <w:jc w:val="center"/>
                    <w:rPr>
                      <w:color w:val="auto"/>
                      <w:sz w:val="18"/>
                      <w:szCs w:val="18"/>
                    </w:rPr>
                  </w:pPr>
                  <w:r>
                    <w:rPr>
                      <w:rFonts w:hint="eastAsia"/>
                      <w:color w:val="auto"/>
                      <w:sz w:val="18"/>
                      <w:szCs w:val="18"/>
                    </w:rPr>
                    <w:t>评</w:t>
                  </w:r>
                </w:p>
                <w:p>
                  <w:pPr>
                    <w:jc w:val="center"/>
                    <w:rPr>
                      <w:color w:val="auto"/>
                    </w:rPr>
                  </w:pPr>
                  <w:r>
                    <w:rPr>
                      <w:rFonts w:hint="eastAsia"/>
                      <w:color w:val="auto"/>
                      <w:sz w:val="18"/>
                      <w:szCs w:val="18"/>
                    </w:rPr>
                    <w:t>价</w:t>
                  </w:r>
                </w:p>
              </w:tc>
              <w:tc>
                <w:tcPr>
                  <w:tcW w:w="1315" w:type="dxa"/>
                  <w:shd w:val="clear" w:color="auto" w:fill="auto"/>
                  <w:vAlign w:val="center"/>
                </w:tcPr>
                <w:p>
                  <w:pPr>
                    <w:jc w:val="center"/>
                    <w:rPr>
                      <w:color w:val="auto"/>
                      <w:sz w:val="18"/>
                      <w:szCs w:val="18"/>
                    </w:rPr>
                  </w:pPr>
                  <w:r>
                    <w:rPr>
                      <w:rFonts w:hint="eastAsia"/>
                      <w:color w:val="auto"/>
                      <w:sz w:val="18"/>
                      <w:szCs w:val="18"/>
                    </w:rPr>
                    <w:t>水污染控制和水环境影响减缓措</w:t>
                  </w:r>
                </w:p>
                <w:p>
                  <w:pPr>
                    <w:jc w:val="center"/>
                    <w:rPr>
                      <w:color w:val="auto"/>
                    </w:rPr>
                  </w:pPr>
                  <w:r>
                    <w:rPr>
                      <w:rFonts w:hint="eastAsia"/>
                      <w:color w:val="auto"/>
                      <w:sz w:val="18"/>
                      <w:szCs w:val="18"/>
                    </w:rPr>
                    <w:t>施有效性评价</w:t>
                  </w:r>
                </w:p>
              </w:tc>
              <w:tc>
                <w:tcPr>
                  <w:tcW w:w="6673" w:type="dxa"/>
                  <w:gridSpan w:val="12"/>
                  <w:shd w:val="clear" w:color="auto" w:fill="auto"/>
                  <w:vAlign w:val="center"/>
                </w:tcPr>
                <w:p>
                  <w:pPr>
                    <w:jc w:val="left"/>
                    <w:rPr>
                      <w:color w:val="auto"/>
                    </w:rPr>
                  </w:pPr>
                  <w:r>
                    <w:rPr>
                      <w:rFonts w:hint="eastAsia"/>
                      <w:color w:val="auto"/>
                      <w:sz w:val="18"/>
                      <w:szCs w:val="18"/>
                    </w:rPr>
                    <w:t>区（流）域水环境质量改善目标</w:t>
                  </w:r>
                  <w:r>
                    <w:rPr>
                      <w:rFonts w:hint="eastAsia"/>
                      <w:color w:val="auto"/>
                      <w:sz w:val="18"/>
                      <w:szCs w:val="18"/>
                    </w:rPr>
                    <w:sym w:font="Wingdings 2" w:char="0052"/>
                  </w:r>
                  <w:r>
                    <w:rPr>
                      <w:rFonts w:hint="eastAsia"/>
                      <w:color w:val="auto"/>
                      <w:sz w:val="18"/>
                      <w:szCs w:val="18"/>
                    </w:rPr>
                    <w:t>；替代削减源□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水环境影响评价</w:t>
                  </w:r>
                </w:p>
              </w:tc>
              <w:tc>
                <w:tcPr>
                  <w:tcW w:w="6673" w:type="dxa"/>
                  <w:gridSpan w:val="12"/>
                  <w:shd w:val="clear" w:color="auto" w:fill="auto"/>
                  <w:vAlign w:val="center"/>
                </w:tcPr>
                <w:p>
                  <w:pPr>
                    <w:jc w:val="left"/>
                    <w:rPr>
                      <w:color w:val="auto"/>
                      <w:sz w:val="18"/>
                      <w:szCs w:val="18"/>
                    </w:rPr>
                  </w:pPr>
                  <w:r>
                    <w:rPr>
                      <w:rFonts w:hint="eastAsia"/>
                      <w:color w:val="auto"/>
                      <w:sz w:val="18"/>
                      <w:szCs w:val="18"/>
                    </w:rPr>
                    <w:t>排放口混合区外满足水环境管理要求□</w:t>
                  </w:r>
                </w:p>
                <w:p>
                  <w:pPr>
                    <w:jc w:val="left"/>
                    <w:rPr>
                      <w:color w:val="auto"/>
                      <w:sz w:val="18"/>
                      <w:szCs w:val="18"/>
                    </w:rPr>
                  </w:pPr>
                  <w:r>
                    <w:rPr>
                      <w:rFonts w:hint="eastAsia"/>
                      <w:color w:val="auto"/>
                      <w:sz w:val="18"/>
                      <w:szCs w:val="18"/>
                    </w:rPr>
                    <w:t>水环境功能区或水功能区、近岸海域环境功能区水质达标□</w:t>
                  </w:r>
                </w:p>
                <w:p>
                  <w:pPr>
                    <w:jc w:val="left"/>
                    <w:rPr>
                      <w:color w:val="auto"/>
                      <w:sz w:val="18"/>
                      <w:szCs w:val="18"/>
                    </w:rPr>
                  </w:pPr>
                  <w:r>
                    <w:rPr>
                      <w:rFonts w:hint="eastAsia"/>
                      <w:color w:val="auto"/>
                      <w:sz w:val="18"/>
                      <w:szCs w:val="18"/>
                    </w:rPr>
                    <w:t>满足水环境保护目标水域水环境质量要求□</w:t>
                  </w:r>
                </w:p>
                <w:p>
                  <w:pPr>
                    <w:jc w:val="left"/>
                    <w:rPr>
                      <w:color w:val="auto"/>
                      <w:sz w:val="18"/>
                      <w:szCs w:val="18"/>
                    </w:rPr>
                  </w:pPr>
                  <w:r>
                    <w:rPr>
                      <w:rFonts w:hint="eastAsia"/>
                      <w:color w:val="auto"/>
                      <w:sz w:val="18"/>
                      <w:szCs w:val="18"/>
                    </w:rPr>
                    <w:t>水环境控制单元或断面水质达标□</w:t>
                  </w:r>
                </w:p>
                <w:p>
                  <w:pPr>
                    <w:jc w:val="left"/>
                    <w:rPr>
                      <w:color w:val="auto"/>
                      <w:sz w:val="18"/>
                      <w:szCs w:val="18"/>
                    </w:rPr>
                  </w:pPr>
                  <w:r>
                    <w:rPr>
                      <w:rFonts w:hint="eastAsia"/>
                      <w:color w:val="auto"/>
                      <w:sz w:val="18"/>
                      <w:szCs w:val="18"/>
                    </w:rPr>
                    <w:t>满足重点水污染物排放总量控制指标要求，重点行业建设项目，主要污染物排放满足等量或减量替代要求□</w:t>
                  </w:r>
                </w:p>
                <w:p>
                  <w:pPr>
                    <w:jc w:val="left"/>
                    <w:rPr>
                      <w:color w:val="auto"/>
                      <w:sz w:val="18"/>
                      <w:szCs w:val="18"/>
                    </w:rPr>
                  </w:pPr>
                  <w:r>
                    <w:rPr>
                      <w:rFonts w:hint="eastAsia"/>
                      <w:color w:val="auto"/>
                      <w:sz w:val="18"/>
                      <w:szCs w:val="18"/>
                    </w:rPr>
                    <w:t>满足区（流）域水环境质量改善目标要求□</w:t>
                  </w:r>
                </w:p>
                <w:p>
                  <w:pPr>
                    <w:jc w:val="left"/>
                    <w:rPr>
                      <w:color w:val="auto"/>
                      <w:sz w:val="18"/>
                      <w:szCs w:val="18"/>
                    </w:rPr>
                  </w:pPr>
                  <w:r>
                    <w:rPr>
                      <w:rFonts w:hint="eastAsia"/>
                      <w:color w:val="auto"/>
                      <w:sz w:val="18"/>
                      <w:szCs w:val="18"/>
                    </w:rPr>
                    <w:t>水文要素影响型建设项目同时应包括水文情势变化评价、主要水文特征值影响评价、生态流量符合性评价□</w:t>
                  </w:r>
                </w:p>
                <w:p>
                  <w:pPr>
                    <w:jc w:val="left"/>
                    <w:rPr>
                      <w:color w:val="auto"/>
                      <w:sz w:val="18"/>
                      <w:szCs w:val="18"/>
                    </w:rPr>
                  </w:pPr>
                  <w:r>
                    <w:rPr>
                      <w:rFonts w:hint="eastAsia"/>
                      <w:color w:val="auto"/>
                      <w:sz w:val="18"/>
                      <w:szCs w:val="18"/>
                    </w:rPr>
                    <w:t>对于新设或调整入河（湖库、近岸海域）排放口的建设项目，应包括排放口设置的环境合理性评价□</w:t>
                  </w:r>
                </w:p>
                <w:p>
                  <w:pPr>
                    <w:jc w:val="left"/>
                    <w:rPr>
                      <w:color w:val="auto"/>
                    </w:rPr>
                  </w:pPr>
                  <w:r>
                    <w:rPr>
                      <w:rFonts w:hint="eastAsia"/>
                      <w:color w:val="auto"/>
                      <w:sz w:val="18"/>
                      <w:szCs w:val="18"/>
                    </w:rPr>
                    <w:t>满足生态保护红线、水环境质量底线、资源利用上线和环境准入清单管理要求□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污染源排放量核算</w:t>
                  </w:r>
                </w:p>
              </w:tc>
              <w:tc>
                <w:tcPr>
                  <w:tcW w:w="2415" w:type="dxa"/>
                  <w:gridSpan w:val="4"/>
                  <w:shd w:val="clear" w:color="auto" w:fill="auto"/>
                  <w:vAlign w:val="center"/>
                </w:tcPr>
                <w:p>
                  <w:pPr>
                    <w:jc w:val="center"/>
                    <w:rPr>
                      <w:color w:val="auto"/>
                    </w:rPr>
                  </w:pPr>
                  <w:r>
                    <w:rPr>
                      <w:rFonts w:hint="eastAsia"/>
                      <w:color w:val="auto"/>
                      <w:sz w:val="18"/>
                      <w:szCs w:val="18"/>
                    </w:rPr>
                    <w:t>污染物名称</w:t>
                  </w:r>
                </w:p>
              </w:tc>
              <w:tc>
                <w:tcPr>
                  <w:tcW w:w="2028" w:type="dxa"/>
                  <w:gridSpan w:val="5"/>
                  <w:shd w:val="clear" w:color="auto" w:fill="auto"/>
                  <w:vAlign w:val="center"/>
                </w:tcPr>
                <w:p>
                  <w:pPr>
                    <w:jc w:val="center"/>
                    <w:rPr>
                      <w:color w:val="auto"/>
                    </w:rPr>
                  </w:pPr>
                  <w:r>
                    <w:rPr>
                      <w:rFonts w:hint="eastAsia"/>
                      <w:color w:val="auto"/>
                      <w:sz w:val="18"/>
                      <w:szCs w:val="18"/>
                    </w:rPr>
                    <w:t>排放量/（t/a）</w:t>
                  </w:r>
                </w:p>
              </w:tc>
              <w:tc>
                <w:tcPr>
                  <w:tcW w:w="2230" w:type="dxa"/>
                  <w:gridSpan w:val="3"/>
                  <w:shd w:val="clear" w:color="auto" w:fill="auto"/>
                  <w:vAlign w:val="center"/>
                </w:tcPr>
                <w:p>
                  <w:pPr>
                    <w:jc w:val="center"/>
                    <w:rPr>
                      <w:color w:val="auto"/>
                    </w:rPr>
                  </w:pPr>
                  <w:r>
                    <w:rPr>
                      <w:rFonts w:hint="eastAsia"/>
                      <w:color w:val="auto"/>
                      <w:sz w:val="18"/>
                      <w:szCs w:val="18"/>
                    </w:rPr>
                    <w:t>排放浓度/（mg/L）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2415" w:type="dxa"/>
                  <w:gridSpan w:val="4"/>
                  <w:shd w:val="clear" w:color="auto" w:fill="auto"/>
                  <w:vAlign w:val="center"/>
                </w:tcPr>
                <w:p>
                  <w:pPr>
                    <w:jc w:val="center"/>
                    <w:rPr>
                      <w:color w:val="auto"/>
                    </w:rPr>
                  </w:pPr>
                  <w:r>
                    <w:rPr>
                      <w:rFonts w:hint="eastAsia"/>
                      <w:color w:val="auto"/>
                      <w:sz w:val="18"/>
                      <w:szCs w:val="18"/>
                    </w:rPr>
                    <w:t>（/）</w:t>
                  </w:r>
                </w:p>
              </w:tc>
              <w:tc>
                <w:tcPr>
                  <w:tcW w:w="2028" w:type="dxa"/>
                  <w:gridSpan w:val="5"/>
                  <w:shd w:val="clear" w:color="auto" w:fill="auto"/>
                  <w:vAlign w:val="center"/>
                </w:tcPr>
                <w:p>
                  <w:pPr>
                    <w:jc w:val="center"/>
                    <w:rPr>
                      <w:color w:val="auto"/>
                    </w:rPr>
                  </w:pPr>
                  <w:r>
                    <w:rPr>
                      <w:rFonts w:hint="eastAsia"/>
                      <w:color w:val="auto"/>
                      <w:sz w:val="18"/>
                      <w:szCs w:val="18"/>
                    </w:rPr>
                    <w:t>（/）</w:t>
                  </w:r>
                </w:p>
              </w:tc>
              <w:tc>
                <w:tcPr>
                  <w:tcW w:w="2230" w:type="dxa"/>
                  <w:gridSpan w:val="3"/>
                  <w:shd w:val="clear" w:color="auto" w:fill="auto"/>
                  <w:vAlign w:val="center"/>
                </w:tcPr>
                <w:p>
                  <w:pPr>
                    <w:jc w:val="center"/>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替代源排放情况</w:t>
                  </w:r>
                </w:p>
              </w:tc>
              <w:tc>
                <w:tcPr>
                  <w:tcW w:w="1440" w:type="dxa"/>
                  <w:shd w:val="clear" w:color="auto" w:fill="auto"/>
                  <w:vAlign w:val="center"/>
                </w:tcPr>
                <w:p>
                  <w:pPr>
                    <w:jc w:val="center"/>
                    <w:rPr>
                      <w:color w:val="auto"/>
                    </w:rPr>
                  </w:pPr>
                  <w:r>
                    <w:rPr>
                      <w:rFonts w:hint="eastAsia"/>
                      <w:color w:val="auto"/>
                      <w:sz w:val="18"/>
                      <w:szCs w:val="18"/>
                    </w:rPr>
                    <w:t>污染源名称</w:t>
                  </w:r>
                </w:p>
              </w:tc>
              <w:tc>
                <w:tcPr>
                  <w:tcW w:w="1381" w:type="dxa"/>
                  <w:gridSpan w:val="4"/>
                  <w:shd w:val="clear" w:color="auto" w:fill="auto"/>
                  <w:vAlign w:val="center"/>
                </w:tcPr>
                <w:p>
                  <w:pPr>
                    <w:jc w:val="center"/>
                    <w:rPr>
                      <w:color w:val="auto"/>
                    </w:rPr>
                  </w:pPr>
                  <w:r>
                    <w:rPr>
                      <w:rFonts w:hint="eastAsia"/>
                      <w:color w:val="auto"/>
                      <w:spacing w:val="-10"/>
                      <w:sz w:val="18"/>
                      <w:szCs w:val="18"/>
                    </w:rPr>
                    <w:t>排污许可证编号</w:t>
                  </w:r>
                </w:p>
              </w:tc>
              <w:tc>
                <w:tcPr>
                  <w:tcW w:w="1217" w:type="dxa"/>
                  <w:gridSpan w:val="2"/>
                  <w:shd w:val="clear" w:color="auto" w:fill="auto"/>
                  <w:vAlign w:val="center"/>
                </w:tcPr>
                <w:p>
                  <w:pPr>
                    <w:jc w:val="center"/>
                    <w:rPr>
                      <w:color w:val="auto"/>
                    </w:rPr>
                  </w:pPr>
                  <w:r>
                    <w:rPr>
                      <w:rFonts w:hint="eastAsia"/>
                      <w:color w:val="auto"/>
                      <w:sz w:val="18"/>
                      <w:szCs w:val="18"/>
                    </w:rPr>
                    <w:t>污染物名称</w:t>
                  </w:r>
                </w:p>
              </w:tc>
              <w:tc>
                <w:tcPr>
                  <w:tcW w:w="1217" w:type="dxa"/>
                  <w:gridSpan w:val="3"/>
                  <w:shd w:val="clear" w:color="auto" w:fill="auto"/>
                  <w:vAlign w:val="center"/>
                </w:tcPr>
                <w:p>
                  <w:pPr>
                    <w:jc w:val="center"/>
                    <w:rPr>
                      <w:color w:val="auto"/>
                    </w:rPr>
                  </w:pPr>
                  <w:r>
                    <w:rPr>
                      <w:rFonts w:hint="eastAsia"/>
                      <w:color w:val="auto"/>
                      <w:sz w:val="18"/>
                      <w:szCs w:val="18"/>
                    </w:rPr>
                    <w:t>排放量/（t/a）</w:t>
                  </w:r>
                </w:p>
              </w:tc>
              <w:tc>
                <w:tcPr>
                  <w:tcW w:w="1418" w:type="dxa"/>
                  <w:gridSpan w:val="2"/>
                  <w:shd w:val="clear" w:color="auto" w:fill="auto"/>
                  <w:vAlign w:val="center"/>
                </w:tcPr>
                <w:p>
                  <w:pPr>
                    <w:jc w:val="center"/>
                    <w:rPr>
                      <w:color w:val="auto"/>
                    </w:rPr>
                  </w:pPr>
                  <w:r>
                    <w:rPr>
                      <w:rFonts w:hint="eastAsia"/>
                      <w:color w:val="auto"/>
                      <w:sz w:val="18"/>
                      <w:szCs w:val="18"/>
                    </w:rPr>
                    <w:t>排放浓度/（mg/L）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1440" w:type="dxa"/>
                  <w:shd w:val="clear" w:color="auto" w:fill="auto"/>
                </w:tcPr>
                <w:p>
                  <w:pPr>
                    <w:jc w:val="center"/>
                    <w:rPr>
                      <w:color w:val="auto"/>
                    </w:rPr>
                  </w:pPr>
                  <w:r>
                    <w:rPr>
                      <w:rFonts w:hint="eastAsia"/>
                      <w:color w:val="auto"/>
                      <w:sz w:val="18"/>
                      <w:szCs w:val="18"/>
                    </w:rPr>
                    <w:t>（/）</w:t>
                  </w:r>
                </w:p>
              </w:tc>
              <w:tc>
                <w:tcPr>
                  <w:tcW w:w="1381" w:type="dxa"/>
                  <w:gridSpan w:val="4"/>
                  <w:shd w:val="clear" w:color="auto" w:fill="auto"/>
                </w:tcPr>
                <w:p>
                  <w:pPr>
                    <w:jc w:val="center"/>
                    <w:rPr>
                      <w:color w:val="auto"/>
                    </w:rPr>
                  </w:pPr>
                  <w:r>
                    <w:rPr>
                      <w:rFonts w:hint="eastAsia"/>
                      <w:color w:val="auto"/>
                      <w:sz w:val="18"/>
                      <w:szCs w:val="18"/>
                    </w:rPr>
                    <w:t>（/）</w:t>
                  </w:r>
                </w:p>
              </w:tc>
              <w:tc>
                <w:tcPr>
                  <w:tcW w:w="1217" w:type="dxa"/>
                  <w:gridSpan w:val="2"/>
                  <w:shd w:val="clear" w:color="auto" w:fill="auto"/>
                </w:tcPr>
                <w:p>
                  <w:pPr>
                    <w:jc w:val="center"/>
                    <w:rPr>
                      <w:color w:val="auto"/>
                    </w:rPr>
                  </w:pPr>
                  <w:r>
                    <w:rPr>
                      <w:rFonts w:hint="eastAsia"/>
                      <w:color w:val="auto"/>
                      <w:sz w:val="18"/>
                      <w:szCs w:val="18"/>
                    </w:rPr>
                    <w:t>（/）</w:t>
                  </w:r>
                </w:p>
              </w:tc>
              <w:tc>
                <w:tcPr>
                  <w:tcW w:w="1217" w:type="dxa"/>
                  <w:gridSpan w:val="3"/>
                  <w:shd w:val="clear" w:color="auto" w:fill="auto"/>
                </w:tcPr>
                <w:p>
                  <w:pPr>
                    <w:jc w:val="center"/>
                    <w:rPr>
                      <w:color w:val="auto"/>
                    </w:rPr>
                  </w:pPr>
                  <w:r>
                    <w:rPr>
                      <w:rFonts w:hint="eastAsia"/>
                      <w:color w:val="auto"/>
                      <w:sz w:val="18"/>
                      <w:szCs w:val="18"/>
                    </w:rPr>
                    <w:t>（/）</w:t>
                  </w:r>
                </w:p>
              </w:tc>
              <w:tc>
                <w:tcPr>
                  <w:tcW w:w="1418" w:type="dxa"/>
                  <w:gridSpan w:val="2"/>
                  <w:shd w:val="clear" w:color="auto" w:fill="auto"/>
                </w:tcPr>
                <w:p>
                  <w:pPr>
                    <w:jc w:val="center"/>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生态流量确定</w:t>
                  </w:r>
                </w:p>
              </w:tc>
              <w:tc>
                <w:tcPr>
                  <w:tcW w:w="6673" w:type="dxa"/>
                  <w:gridSpan w:val="12"/>
                  <w:shd w:val="clear" w:color="auto" w:fill="auto"/>
                  <w:vAlign w:val="center"/>
                </w:tcPr>
                <w:p>
                  <w:pPr>
                    <w:jc w:val="left"/>
                    <w:rPr>
                      <w:color w:val="auto"/>
                      <w:sz w:val="18"/>
                      <w:szCs w:val="18"/>
                    </w:rPr>
                  </w:pPr>
                  <w:r>
                    <w:rPr>
                      <w:rFonts w:hint="eastAsia"/>
                      <w:color w:val="auto"/>
                      <w:sz w:val="18"/>
                      <w:szCs w:val="18"/>
                    </w:rPr>
                    <w:t>生态流量：一般水期（/）m</w:t>
                  </w:r>
                  <w:r>
                    <w:rPr>
                      <w:rFonts w:hint="eastAsia"/>
                      <w:color w:val="auto"/>
                      <w:sz w:val="18"/>
                      <w:szCs w:val="18"/>
                      <w:vertAlign w:val="superscript"/>
                    </w:rPr>
                    <w:t>3</w:t>
                  </w:r>
                  <w:r>
                    <w:rPr>
                      <w:rFonts w:hint="eastAsia"/>
                      <w:color w:val="auto"/>
                      <w:sz w:val="18"/>
                      <w:szCs w:val="18"/>
                    </w:rPr>
                    <w:t>/s；鱼类繁殖期（/）m</w:t>
                  </w:r>
                  <w:r>
                    <w:rPr>
                      <w:rFonts w:hint="eastAsia"/>
                      <w:color w:val="auto"/>
                      <w:sz w:val="18"/>
                      <w:szCs w:val="18"/>
                      <w:vertAlign w:val="superscript"/>
                    </w:rPr>
                    <w:t>3</w:t>
                  </w:r>
                  <w:r>
                    <w:rPr>
                      <w:rFonts w:hint="eastAsia"/>
                      <w:color w:val="auto"/>
                      <w:sz w:val="18"/>
                      <w:szCs w:val="18"/>
                    </w:rPr>
                    <w:t>/s；其他（/）m</w:t>
                  </w:r>
                  <w:r>
                    <w:rPr>
                      <w:rFonts w:hint="eastAsia"/>
                      <w:color w:val="auto"/>
                      <w:sz w:val="18"/>
                      <w:szCs w:val="18"/>
                      <w:vertAlign w:val="superscript"/>
                    </w:rPr>
                    <w:t>3</w:t>
                  </w:r>
                  <w:r>
                    <w:rPr>
                      <w:rFonts w:hint="eastAsia"/>
                      <w:color w:val="auto"/>
                      <w:sz w:val="18"/>
                      <w:szCs w:val="18"/>
                    </w:rPr>
                    <w:t xml:space="preserve">/s </w:t>
                  </w:r>
                </w:p>
                <w:p>
                  <w:pPr>
                    <w:jc w:val="left"/>
                    <w:rPr>
                      <w:color w:val="auto"/>
                    </w:rPr>
                  </w:pPr>
                  <w:r>
                    <w:rPr>
                      <w:rFonts w:hint="eastAsia"/>
                      <w:color w:val="auto"/>
                      <w:sz w:val="18"/>
                      <w:szCs w:val="18"/>
                    </w:rPr>
                    <w:t>生态水位：一般水期（/）m；鱼类繁殖期（/）m；其他（/）m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restart"/>
                  <w:shd w:val="clear" w:color="auto" w:fill="auto"/>
                  <w:vAlign w:val="center"/>
                </w:tcPr>
                <w:p>
                  <w:pPr>
                    <w:jc w:val="center"/>
                    <w:rPr>
                      <w:color w:val="auto"/>
                      <w:sz w:val="18"/>
                      <w:szCs w:val="18"/>
                    </w:rPr>
                  </w:pPr>
                  <w:r>
                    <w:rPr>
                      <w:rFonts w:hint="eastAsia"/>
                      <w:color w:val="auto"/>
                      <w:sz w:val="18"/>
                      <w:szCs w:val="18"/>
                    </w:rPr>
                    <w:t>防</w:t>
                  </w:r>
                </w:p>
                <w:p>
                  <w:pPr>
                    <w:jc w:val="center"/>
                    <w:rPr>
                      <w:color w:val="auto"/>
                      <w:sz w:val="18"/>
                      <w:szCs w:val="18"/>
                    </w:rPr>
                  </w:pPr>
                  <w:r>
                    <w:rPr>
                      <w:rFonts w:hint="eastAsia"/>
                      <w:color w:val="auto"/>
                      <w:sz w:val="18"/>
                      <w:szCs w:val="18"/>
                    </w:rPr>
                    <w:t>治</w:t>
                  </w:r>
                </w:p>
                <w:p>
                  <w:pPr>
                    <w:jc w:val="center"/>
                    <w:rPr>
                      <w:color w:val="auto"/>
                      <w:sz w:val="18"/>
                      <w:szCs w:val="18"/>
                    </w:rPr>
                  </w:pPr>
                  <w:r>
                    <w:rPr>
                      <w:rFonts w:hint="eastAsia"/>
                      <w:color w:val="auto"/>
                      <w:sz w:val="18"/>
                      <w:szCs w:val="18"/>
                    </w:rPr>
                    <w:t>措</w:t>
                  </w:r>
                </w:p>
                <w:p>
                  <w:pPr>
                    <w:jc w:val="center"/>
                    <w:rPr>
                      <w:color w:val="auto"/>
                    </w:rPr>
                  </w:pPr>
                  <w:r>
                    <w:rPr>
                      <w:rFonts w:hint="eastAsia"/>
                      <w:color w:val="auto"/>
                      <w:sz w:val="18"/>
                      <w:szCs w:val="18"/>
                    </w:rPr>
                    <w:t>施</w:t>
                  </w:r>
                </w:p>
              </w:tc>
              <w:tc>
                <w:tcPr>
                  <w:tcW w:w="1315" w:type="dxa"/>
                  <w:shd w:val="clear" w:color="auto" w:fill="auto"/>
                  <w:vAlign w:val="center"/>
                </w:tcPr>
                <w:p>
                  <w:pPr>
                    <w:jc w:val="center"/>
                    <w:rPr>
                      <w:color w:val="auto"/>
                    </w:rPr>
                  </w:pPr>
                  <w:r>
                    <w:rPr>
                      <w:rFonts w:hint="eastAsia"/>
                      <w:color w:val="auto"/>
                      <w:sz w:val="18"/>
                      <w:szCs w:val="18"/>
                    </w:rPr>
                    <w:t>环保措施</w:t>
                  </w:r>
                </w:p>
              </w:tc>
              <w:tc>
                <w:tcPr>
                  <w:tcW w:w="6673" w:type="dxa"/>
                  <w:gridSpan w:val="12"/>
                  <w:shd w:val="clear" w:color="auto" w:fill="auto"/>
                  <w:vAlign w:val="center"/>
                </w:tcPr>
                <w:p>
                  <w:pPr>
                    <w:jc w:val="center"/>
                    <w:rPr>
                      <w:color w:val="auto"/>
                    </w:rPr>
                  </w:pPr>
                  <w:r>
                    <w:rPr>
                      <w:rFonts w:hint="eastAsia"/>
                      <w:color w:val="auto"/>
                      <w:sz w:val="18"/>
                      <w:szCs w:val="18"/>
                    </w:rPr>
                    <w:t>污水处理设施</w:t>
                  </w:r>
                  <w:r>
                    <w:rPr>
                      <w:rFonts w:hint="eastAsia"/>
                      <w:color w:val="auto"/>
                      <w:sz w:val="18"/>
                      <w:szCs w:val="18"/>
                    </w:rPr>
                    <w:sym w:font="Wingdings 2" w:char="0052"/>
                  </w:r>
                  <w:r>
                    <w:rPr>
                      <w:rFonts w:hint="eastAsia"/>
                      <w:color w:val="auto"/>
                      <w:sz w:val="18"/>
                      <w:szCs w:val="18"/>
                    </w:rPr>
                    <w:t>；水文减缓设施□；生态流量保障设施□；区域削减□；依托其他工程措施</w:t>
                  </w:r>
                  <w:r>
                    <w:rPr>
                      <w:rFonts w:hint="eastAsia"/>
                      <w:color w:val="auto"/>
                      <w:sz w:val="18"/>
                      <w:szCs w:val="18"/>
                    </w:rPr>
                    <w:sym w:font="Wingdings 2" w:char="00A3"/>
                  </w:r>
                  <w:r>
                    <w:rPr>
                      <w:rFonts w:hint="eastAsia"/>
                      <w:color w:val="auto"/>
                      <w:sz w:val="18"/>
                      <w:szCs w:val="18"/>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restart"/>
                  <w:shd w:val="clear" w:color="auto" w:fill="auto"/>
                  <w:vAlign w:val="center"/>
                </w:tcPr>
                <w:p>
                  <w:pPr>
                    <w:jc w:val="center"/>
                    <w:rPr>
                      <w:color w:val="auto"/>
                    </w:rPr>
                  </w:pPr>
                  <w:r>
                    <w:rPr>
                      <w:rFonts w:hint="eastAsia"/>
                      <w:color w:val="auto"/>
                      <w:sz w:val="18"/>
                      <w:szCs w:val="18"/>
                    </w:rPr>
                    <w:t>监测计划</w:t>
                  </w:r>
                </w:p>
              </w:tc>
              <w:tc>
                <w:tcPr>
                  <w:tcW w:w="1854" w:type="dxa"/>
                  <w:gridSpan w:val="2"/>
                  <w:shd w:val="clear" w:color="auto" w:fill="auto"/>
                  <w:vAlign w:val="center"/>
                </w:tcPr>
                <w:p>
                  <w:pPr>
                    <w:jc w:val="left"/>
                    <w:rPr>
                      <w:color w:val="auto"/>
                    </w:rPr>
                  </w:pPr>
                </w:p>
              </w:tc>
              <w:tc>
                <w:tcPr>
                  <w:tcW w:w="2361" w:type="dxa"/>
                  <w:gridSpan w:val="6"/>
                  <w:shd w:val="clear" w:color="auto" w:fill="auto"/>
                  <w:vAlign w:val="center"/>
                </w:tcPr>
                <w:p>
                  <w:pPr>
                    <w:jc w:val="center"/>
                    <w:rPr>
                      <w:color w:val="auto"/>
                    </w:rPr>
                  </w:pPr>
                  <w:r>
                    <w:rPr>
                      <w:rFonts w:hint="eastAsia"/>
                      <w:color w:val="auto"/>
                      <w:sz w:val="18"/>
                      <w:szCs w:val="18"/>
                    </w:rPr>
                    <w:t>环境质量</w:t>
                  </w:r>
                </w:p>
              </w:tc>
              <w:tc>
                <w:tcPr>
                  <w:tcW w:w="2458" w:type="dxa"/>
                  <w:gridSpan w:val="4"/>
                  <w:shd w:val="clear" w:color="auto" w:fill="auto"/>
                  <w:vAlign w:val="center"/>
                </w:tcPr>
                <w:p>
                  <w:pPr>
                    <w:jc w:val="center"/>
                    <w:rPr>
                      <w:color w:val="auto"/>
                    </w:rPr>
                  </w:pPr>
                  <w:r>
                    <w:rPr>
                      <w:rFonts w:hint="eastAsia"/>
                      <w:color w:val="auto"/>
                      <w:sz w:val="18"/>
                      <w:szCs w:val="18"/>
                    </w:rPr>
                    <w:t>污染源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1854" w:type="dxa"/>
                  <w:gridSpan w:val="2"/>
                  <w:shd w:val="clear" w:color="auto" w:fill="auto"/>
                  <w:vAlign w:val="center"/>
                </w:tcPr>
                <w:p>
                  <w:pPr>
                    <w:jc w:val="center"/>
                    <w:rPr>
                      <w:color w:val="auto"/>
                    </w:rPr>
                  </w:pPr>
                  <w:r>
                    <w:rPr>
                      <w:rFonts w:hint="eastAsia"/>
                      <w:color w:val="auto"/>
                      <w:sz w:val="18"/>
                      <w:szCs w:val="18"/>
                    </w:rPr>
                    <w:t>监测方式</w:t>
                  </w:r>
                </w:p>
              </w:tc>
              <w:tc>
                <w:tcPr>
                  <w:tcW w:w="2361" w:type="dxa"/>
                  <w:gridSpan w:val="6"/>
                  <w:shd w:val="clear" w:color="auto" w:fill="auto"/>
                  <w:vAlign w:val="center"/>
                </w:tcPr>
                <w:p>
                  <w:pPr>
                    <w:jc w:val="center"/>
                    <w:rPr>
                      <w:color w:val="auto"/>
                    </w:rPr>
                  </w:pPr>
                  <w:r>
                    <w:rPr>
                      <w:rFonts w:hint="eastAsia"/>
                      <w:color w:val="auto"/>
                      <w:sz w:val="18"/>
                      <w:szCs w:val="18"/>
                    </w:rPr>
                    <w:t>手动</w:t>
                  </w:r>
                  <w:r>
                    <w:rPr>
                      <w:rFonts w:hint="eastAsia"/>
                      <w:color w:val="auto"/>
                      <w:sz w:val="18"/>
                      <w:szCs w:val="18"/>
                    </w:rPr>
                    <w:sym w:font="Wingdings 2" w:char="0052"/>
                  </w:r>
                  <w:r>
                    <w:rPr>
                      <w:rFonts w:hint="eastAsia"/>
                      <w:color w:val="auto"/>
                      <w:sz w:val="18"/>
                      <w:szCs w:val="18"/>
                    </w:rPr>
                    <w:t>；自动□；无监测□</w:t>
                  </w:r>
                </w:p>
              </w:tc>
              <w:tc>
                <w:tcPr>
                  <w:tcW w:w="2458" w:type="dxa"/>
                  <w:gridSpan w:val="4"/>
                  <w:shd w:val="clear" w:color="auto" w:fill="auto"/>
                  <w:vAlign w:val="center"/>
                </w:tcPr>
                <w:p>
                  <w:pPr>
                    <w:jc w:val="center"/>
                    <w:rPr>
                      <w:color w:val="auto"/>
                    </w:rPr>
                  </w:pPr>
                  <w:r>
                    <w:rPr>
                      <w:rFonts w:hint="eastAsia"/>
                      <w:color w:val="auto"/>
                      <w:sz w:val="18"/>
                      <w:szCs w:val="18"/>
                    </w:rPr>
                    <w:t>手动</w:t>
                  </w:r>
                  <w:r>
                    <w:rPr>
                      <w:rFonts w:hint="eastAsia"/>
                      <w:color w:val="auto"/>
                      <w:sz w:val="18"/>
                      <w:szCs w:val="18"/>
                    </w:rPr>
                    <w:sym w:font="Wingdings 2" w:char="0052"/>
                  </w:r>
                  <w:r>
                    <w:rPr>
                      <w:rFonts w:hint="eastAsia"/>
                      <w:color w:val="auto"/>
                      <w:sz w:val="18"/>
                      <w:szCs w:val="18"/>
                    </w:rPr>
                    <w:t>；自动□；无监测□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1854" w:type="dxa"/>
                  <w:gridSpan w:val="2"/>
                  <w:shd w:val="clear" w:color="auto" w:fill="auto"/>
                  <w:vAlign w:val="center"/>
                </w:tcPr>
                <w:p>
                  <w:pPr>
                    <w:jc w:val="center"/>
                    <w:rPr>
                      <w:color w:val="auto"/>
                    </w:rPr>
                  </w:pPr>
                  <w:r>
                    <w:rPr>
                      <w:rFonts w:hint="eastAsia"/>
                      <w:color w:val="auto"/>
                      <w:sz w:val="18"/>
                      <w:szCs w:val="18"/>
                    </w:rPr>
                    <w:t>监测点位</w:t>
                  </w:r>
                </w:p>
              </w:tc>
              <w:tc>
                <w:tcPr>
                  <w:tcW w:w="2361" w:type="dxa"/>
                  <w:gridSpan w:val="6"/>
                  <w:shd w:val="clear" w:color="auto" w:fill="auto"/>
                  <w:vAlign w:val="center"/>
                </w:tcPr>
                <w:p>
                  <w:pPr>
                    <w:jc w:val="center"/>
                    <w:rPr>
                      <w:color w:val="auto"/>
                    </w:rPr>
                  </w:pPr>
                  <w:r>
                    <w:rPr>
                      <w:rFonts w:hint="eastAsia"/>
                      <w:color w:val="auto"/>
                      <w:sz w:val="18"/>
                      <w:szCs w:val="18"/>
                    </w:rPr>
                    <w:t>（/）</w:t>
                  </w:r>
                </w:p>
              </w:tc>
              <w:tc>
                <w:tcPr>
                  <w:tcW w:w="2458" w:type="dxa"/>
                  <w:gridSpan w:val="4"/>
                  <w:shd w:val="clear" w:color="auto" w:fill="auto"/>
                  <w:vAlign w:val="center"/>
                </w:tcPr>
                <w:p>
                  <w:pPr>
                    <w:jc w:val="center"/>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vMerge w:val="continue"/>
                  <w:shd w:val="clear" w:color="auto" w:fill="auto"/>
                  <w:vAlign w:val="center"/>
                </w:tcPr>
                <w:p>
                  <w:pPr>
                    <w:jc w:val="center"/>
                    <w:rPr>
                      <w:color w:val="auto"/>
                    </w:rPr>
                  </w:pPr>
                </w:p>
              </w:tc>
              <w:tc>
                <w:tcPr>
                  <w:tcW w:w="1854" w:type="dxa"/>
                  <w:gridSpan w:val="2"/>
                  <w:shd w:val="clear" w:color="auto" w:fill="auto"/>
                  <w:vAlign w:val="center"/>
                </w:tcPr>
                <w:p>
                  <w:pPr>
                    <w:jc w:val="center"/>
                    <w:rPr>
                      <w:color w:val="auto"/>
                    </w:rPr>
                  </w:pPr>
                  <w:r>
                    <w:rPr>
                      <w:rFonts w:hint="eastAsia"/>
                      <w:color w:val="auto"/>
                      <w:sz w:val="18"/>
                      <w:szCs w:val="18"/>
                    </w:rPr>
                    <w:t>监测因子</w:t>
                  </w:r>
                </w:p>
              </w:tc>
              <w:tc>
                <w:tcPr>
                  <w:tcW w:w="2361" w:type="dxa"/>
                  <w:gridSpan w:val="6"/>
                  <w:shd w:val="clear" w:color="auto" w:fill="auto"/>
                  <w:vAlign w:val="center"/>
                </w:tcPr>
                <w:p>
                  <w:pPr>
                    <w:jc w:val="center"/>
                    <w:rPr>
                      <w:color w:val="auto"/>
                    </w:rPr>
                  </w:pPr>
                  <w:r>
                    <w:rPr>
                      <w:rFonts w:hint="eastAsia"/>
                      <w:color w:val="auto"/>
                      <w:sz w:val="18"/>
                      <w:szCs w:val="18"/>
                    </w:rPr>
                    <w:t>（/）</w:t>
                  </w:r>
                </w:p>
              </w:tc>
              <w:tc>
                <w:tcPr>
                  <w:tcW w:w="2458" w:type="dxa"/>
                  <w:gridSpan w:val="4"/>
                  <w:shd w:val="clear" w:color="auto" w:fill="auto"/>
                  <w:vAlign w:val="center"/>
                </w:tcPr>
                <w:p>
                  <w:pPr>
                    <w:jc w:val="center"/>
                    <w:rPr>
                      <w:color w:val="auto"/>
                    </w:rPr>
                  </w:pPr>
                  <w:r>
                    <w:rPr>
                      <w:rFonts w:hint="eastAsia"/>
                      <w:color w:val="auto"/>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515" w:type="dxa"/>
                  <w:vMerge w:val="continue"/>
                  <w:shd w:val="clear" w:color="auto" w:fill="auto"/>
                  <w:vAlign w:val="center"/>
                </w:tcPr>
                <w:p>
                  <w:pPr>
                    <w:jc w:val="center"/>
                    <w:rPr>
                      <w:color w:val="auto"/>
                    </w:rPr>
                  </w:pPr>
                </w:p>
              </w:tc>
              <w:tc>
                <w:tcPr>
                  <w:tcW w:w="1315" w:type="dxa"/>
                  <w:shd w:val="clear" w:color="auto" w:fill="auto"/>
                  <w:vAlign w:val="center"/>
                </w:tcPr>
                <w:p>
                  <w:pPr>
                    <w:jc w:val="center"/>
                    <w:rPr>
                      <w:color w:val="auto"/>
                    </w:rPr>
                  </w:pPr>
                  <w:r>
                    <w:rPr>
                      <w:rFonts w:hint="eastAsia"/>
                      <w:color w:val="auto"/>
                      <w:sz w:val="18"/>
                      <w:szCs w:val="18"/>
                    </w:rPr>
                    <w:t>污染物排放清单</w:t>
                  </w:r>
                </w:p>
              </w:tc>
              <w:tc>
                <w:tcPr>
                  <w:tcW w:w="6673" w:type="dxa"/>
                  <w:gridSpan w:val="12"/>
                  <w:shd w:val="clear" w:color="auto" w:fill="auto"/>
                  <w:vAlign w:val="center"/>
                </w:tcPr>
                <w:p>
                  <w:pPr>
                    <w:jc w:val="left"/>
                    <w:rPr>
                      <w:color w:val="auto"/>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830" w:type="dxa"/>
                  <w:gridSpan w:val="2"/>
                  <w:shd w:val="clear" w:color="auto" w:fill="auto"/>
                  <w:vAlign w:val="center"/>
                </w:tcPr>
                <w:p>
                  <w:pPr>
                    <w:jc w:val="center"/>
                    <w:rPr>
                      <w:color w:val="auto"/>
                    </w:rPr>
                  </w:pPr>
                  <w:r>
                    <w:rPr>
                      <w:rFonts w:hint="eastAsia"/>
                      <w:color w:val="auto"/>
                      <w:sz w:val="18"/>
                      <w:szCs w:val="18"/>
                    </w:rPr>
                    <w:t>评价结论</w:t>
                  </w:r>
                </w:p>
              </w:tc>
              <w:tc>
                <w:tcPr>
                  <w:tcW w:w="6673" w:type="dxa"/>
                  <w:gridSpan w:val="12"/>
                  <w:shd w:val="clear" w:color="auto" w:fill="auto"/>
                  <w:vAlign w:val="center"/>
                </w:tcPr>
                <w:p>
                  <w:pPr>
                    <w:jc w:val="center"/>
                    <w:rPr>
                      <w:color w:val="auto"/>
                    </w:rPr>
                  </w:pPr>
                  <w:r>
                    <w:rPr>
                      <w:rFonts w:hint="eastAsia"/>
                      <w:color w:val="auto"/>
                      <w:sz w:val="18"/>
                      <w:szCs w:val="18"/>
                    </w:rPr>
                    <w:t>可以接受</w:t>
                  </w:r>
                  <w:r>
                    <w:rPr>
                      <w:color w:val="auto"/>
                      <w:sz w:val="18"/>
                      <w:szCs w:val="18"/>
                    </w:rPr>
                    <w:sym w:font="Wingdings 2" w:char="0052"/>
                  </w:r>
                  <w:r>
                    <w:rPr>
                      <w:rFonts w:hint="eastAsia"/>
                      <w:color w:val="auto"/>
                      <w:sz w:val="18"/>
                      <w:szCs w:val="18"/>
                    </w:rPr>
                    <w:t>；不可以接受□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503" w:type="dxa"/>
                  <w:gridSpan w:val="14"/>
                  <w:shd w:val="clear" w:color="auto" w:fill="auto"/>
                  <w:vAlign w:val="center"/>
                </w:tcPr>
                <w:p>
                  <w:pPr>
                    <w:rPr>
                      <w:color w:val="auto"/>
                    </w:rPr>
                  </w:pPr>
                  <w:r>
                    <w:rPr>
                      <w:rFonts w:hint="eastAsia"/>
                      <w:color w:val="auto"/>
                      <w:sz w:val="18"/>
                      <w:szCs w:val="18"/>
                    </w:rPr>
                    <w:t>注：“□”为勾选项，可√；“（）”为内容填写项；“备注”为其他补充内容。</w:t>
                  </w:r>
                </w:p>
              </w:tc>
            </w:tr>
          </w:tbl>
          <w:p>
            <w:pPr>
              <w:pStyle w:val="2"/>
              <w:rPr>
                <w:color w:val="auto"/>
              </w:rPr>
            </w:pPr>
          </w:p>
          <w:p>
            <w:pPr>
              <w:snapToGrid w:val="0"/>
              <w:spacing w:line="360" w:lineRule="auto"/>
              <w:ind w:firstLine="482" w:firstLineChars="200"/>
              <w:rPr>
                <w:color w:val="auto"/>
              </w:rPr>
            </w:pPr>
            <w:r>
              <w:rPr>
                <w:rFonts w:hint="eastAsia"/>
                <w:b/>
                <w:color w:val="auto"/>
                <w:sz w:val="24"/>
              </w:rPr>
              <w:t>3</w:t>
            </w:r>
            <w:r>
              <w:rPr>
                <w:b/>
                <w:color w:val="auto"/>
                <w:sz w:val="24"/>
              </w:rPr>
              <w:t>、噪声影响分析</w:t>
            </w:r>
            <w:bookmarkEnd w:id="75"/>
            <w:bookmarkEnd w:id="76"/>
          </w:p>
          <w:p>
            <w:pPr>
              <w:snapToGrid w:val="0"/>
              <w:spacing w:line="360" w:lineRule="auto"/>
              <w:ind w:firstLine="480" w:firstLineChars="200"/>
              <w:rPr>
                <w:bCs/>
                <w:color w:val="auto"/>
                <w:sz w:val="24"/>
              </w:rPr>
            </w:pPr>
            <w:r>
              <w:rPr>
                <w:bCs/>
                <w:color w:val="auto"/>
                <w:sz w:val="24"/>
              </w:rPr>
              <w:t>本项目运营期间噪声源主要来自于设备运行产生的噪声、进出车辆噪声，其噪声值一般在70~100dB（A）之间。噪声特征以连续性噪声为主，间歇性噪声为辅。为了最大限度减少营运期产生的噪声，项目对生产厂区内设备进行合理布置，尽量选用低噪声设备，设备安装时加装防震垫；对噪声较大的设备设置隔声装置，减低噪声源强；做好设备的维护，保证其正常运行，避免突发性强噪声的产生。并在厂界边界设置有砖砌实体围墙、种植树木、设置绿化带等。</w:t>
            </w:r>
          </w:p>
          <w:p>
            <w:pPr>
              <w:snapToGrid w:val="0"/>
              <w:spacing w:line="360" w:lineRule="auto"/>
              <w:ind w:firstLine="480" w:firstLineChars="200"/>
              <w:rPr>
                <w:bCs/>
                <w:color w:val="auto"/>
                <w:sz w:val="24"/>
              </w:rPr>
            </w:pPr>
            <w:r>
              <w:rPr>
                <w:rFonts w:hint="eastAsia"/>
                <w:color w:val="auto"/>
                <w:sz w:val="24"/>
              </w:rPr>
              <w:t>按照项目目前四至情况，东、西、北各侧为空地，南侧为服装厂等工业企业，周边均无声环境敏感点</w:t>
            </w:r>
            <w:r>
              <w:rPr>
                <w:rFonts w:hint="eastAsia"/>
                <w:bCs/>
                <w:color w:val="auto"/>
                <w:sz w:val="24"/>
              </w:rPr>
              <w:t>。本项目最近的噪声敏感点为项目西南面的大长陇中学，与本项目边界最近距离为180米。实际噪声污染受体教学楼与项目边界距离为230米，且与本项目中间为建设较密集的楼房，经距离衰减及建筑物屏障衰减，项目对该学校基本没有噪声影响。</w:t>
            </w:r>
          </w:p>
          <w:p>
            <w:pPr>
              <w:snapToGrid w:val="0"/>
              <w:spacing w:line="360" w:lineRule="auto"/>
              <w:ind w:firstLine="480" w:firstLineChars="200"/>
              <w:rPr>
                <w:bCs/>
                <w:color w:val="auto"/>
                <w:sz w:val="24"/>
              </w:rPr>
            </w:pPr>
            <w:r>
              <w:rPr>
                <w:bCs/>
                <w:color w:val="auto"/>
                <w:sz w:val="24"/>
              </w:rPr>
              <w:t>经上述处理后，</w:t>
            </w:r>
            <w:r>
              <w:rPr>
                <w:color w:val="auto"/>
                <w:sz w:val="24"/>
              </w:rPr>
              <w:t>本项目厂界</w:t>
            </w:r>
            <w:r>
              <w:rPr>
                <w:rFonts w:hint="eastAsia"/>
                <w:color w:val="auto"/>
                <w:sz w:val="24"/>
              </w:rPr>
              <w:t>各侧</w:t>
            </w:r>
            <w:r>
              <w:rPr>
                <w:color w:val="auto"/>
                <w:sz w:val="24"/>
              </w:rPr>
              <w:t>噪声控制在《工业企业厂界环境噪声排放标准》（GB12348-2008）中的2类标准，</w:t>
            </w:r>
            <w:r>
              <w:rPr>
                <w:bCs/>
                <w:color w:val="auto"/>
                <w:sz w:val="24"/>
              </w:rPr>
              <w:t>对周围</w:t>
            </w:r>
            <w:r>
              <w:rPr>
                <w:rFonts w:hint="eastAsia"/>
                <w:bCs/>
                <w:color w:val="auto"/>
                <w:sz w:val="24"/>
              </w:rPr>
              <w:t>声</w:t>
            </w:r>
            <w:r>
              <w:rPr>
                <w:bCs/>
                <w:color w:val="auto"/>
                <w:sz w:val="24"/>
              </w:rPr>
              <w:t>环境影响</w:t>
            </w:r>
            <w:r>
              <w:rPr>
                <w:rFonts w:hint="eastAsia"/>
                <w:bCs/>
                <w:color w:val="auto"/>
                <w:sz w:val="24"/>
              </w:rPr>
              <w:t>可以</w:t>
            </w:r>
            <w:r>
              <w:rPr>
                <w:bCs/>
                <w:color w:val="auto"/>
                <w:sz w:val="24"/>
              </w:rPr>
              <w:t>接受。</w:t>
            </w:r>
          </w:p>
          <w:p>
            <w:pPr>
              <w:snapToGrid w:val="0"/>
              <w:spacing w:line="360" w:lineRule="auto"/>
              <w:ind w:firstLine="482" w:firstLineChars="200"/>
              <w:rPr>
                <w:color w:val="auto"/>
              </w:rPr>
            </w:pPr>
            <w:r>
              <w:rPr>
                <w:rFonts w:hint="eastAsia"/>
                <w:b/>
                <w:color w:val="auto"/>
                <w:sz w:val="24"/>
              </w:rPr>
              <w:t>4</w:t>
            </w:r>
            <w:r>
              <w:rPr>
                <w:b/>
                <w:color w:val="auto"/>
                <w:sz w:val="24"/>
              </w:rPr>
              <w:t>、固体废物影响分析</w:t>
            </w:r>
          </w:p>
          <w:p>
            <w:pPr>
              <w:snapToGrid w:val="0"/>
              <w:spacing w:line="360" w:lineRule="auto"/>
              <w:ind w:firstLine="480"/>
              <w:rPr>
                <w:color w:val="auto"/>
                <w:sz w:val="24"/>
              </w:rPr>
            </w:pPr>
            <w:r>
              <w:rPr>
                <w:color w:val="auto"/>
                <w:sz w:val="24"/>
                <w:lang w:val="en-GB"/>
              </w:rPr>
              <w:t>项目</w:t>
            </w:r>
            <w:r>
              <w:rPr>
                <w:color w:val="auto"/>
                <w:kern w:val="0"/>
                <w:sz w:val="24"/>
              </w:rPr>
              <w:t>生产过程中主要产生两类固体废弃物：一般工业固废和生活垃圾</w:t>
            </w:r>
            <w:r>
              <w:rPr>
                <w:color w:val="auto"/>
                <w:sz w:val="24"/>
              </w:rPr>
              <w:t>。</w:t>
            </w:r>
          </w:p>
          <w:p>
            <w:pPr>
              <w:snapToGrid w:val="0"/>
              <w:spacing w:line="360" w:lineRule="auto"/>
              <w:ind w:firstLine="480"/>
              <w:outlineLvl w:val="0"/>
              <w:rPr>
                <w:b/>
                <w:color w:val="auto"/>
                <w:sz w:val="24"/>
              </w:rPr>
            </w:pPr>
            <w:r>
              <w:rPr>
                <w:b/>
                <w:color w:val="auto"/>
                <w:sz w:val="24"/>
              </w:rPr>
              <w:fldChar w:fldCharType="begin"/>
            </w:r>
            <w:r>
              <w:rPr>
                <w:rFonts w:hint="eastAsia"/>
                <w:b/>
                <w:color w:val="auto"/>
                <w:sz w:val="24"/>
              </w:rPr>
              <w:instrText xml:space="preserve">= 1 \* GB3</w:instrText>
            </w:r>
            <w:r>
              <w:rPr>
                <w:b/>
                <w:color w:val="auto"/>
                <w:sz w:val="24"/>
              </w:rPr>
              <w:fldChar w:fldCharType="separate"/>
            </w:r>
            <w:r>
              <w:rPr>
                <w:rFonts w:hint="eastAsia"/>
                <w:b/>
                <w:color w:val="auto"/>
                <w:sz w:val="24"/>
              </w:rPr>
              <w:t>①</w:t>
            </w:r>
            <w:r>
              <w:rPr>
                <w:b/>
                <w:color w:val="auto"/>
                <w:sz w:val="24"/>
              </w:rPr>
              <w:fldChar w:fldCharType="end"/>
            </w:r>
            <w:r>
              <w:rPr>
                <w:b/>
                <w:color w:val="auto"/>
                <w:sz w:val="24"/>
              </w:rPr>
              <w:t>一般工业固废</w:t>
            </w:r>
          </w:p>
          <w:p>
            <w:pPr>
              <w:snapToGrid w:val="0"/>
              <w:spacing w:line="360" w:lineRule="auto"/>
              <w:ind w:firstLine="480" w:firstLineChars="200"/>
              <w:rPr>
                <w:color w:val="auto"/>
                <w:sz w:val="24"/>
              </w:rPr>
            </w:pPr>
            <w:r>
              <w:rPr>
                <w:rFonts w:hint="eastAsia"/>
                <w:color w:val="auto"/>
                <w:sz w:val="24"/>
              </w:rPr>
              <w:t>沉淀</w:t>
            </w:r>
            <w:r>
              <w:rPr>
                <w:color w:val="auto"/>
                <w:sz w:val="24"/>
              </w:rPr>
              <w:t>池泥渣：</w:t>
            </w:r>
            <w:r>
              <w:rPr>
                <w:rFonts w:hint="eastAsia"/>
                <w:color w:val="auto"/>
                <w:sz w:val="24"/>
              </w:rPr>
              <w:t>本项目生产过程中搅拌机、运输车辆等设备及地面冲洗废水、砂石分离机产生泥浆水经沉淀池过滤产生的泥、沙及石子，产生量约为</w:t>
            </w:r>
            <w:r>
              <w:rPr>
                <w:color w:val="auto"/>
                <w:sz w:val="24"/>
              </w:rPr>
              <w:t>14.13</w:t>
            </w:r>
            <w:r>
              <w:rPr>
                <w:rFonts w:hint="eastAsia"/>
                <w:color w:val="auto"/>
                <w:sz w:val="24"/>
              </w:rPr>
              <w:t>t/a，作为生产原料回用，不外排。</w:t>
            </w:r>
          </w:p>
          <w:p>
            <w:pPr>
              <w:snapToGrid w:val="0"/>
              <w:spacing w:line="360" w:lineRule="auto"/>
              <w:ind w:firstLine="480" w:firstLineChars="200"/>
              <w:rPr>
                <w:color w:val="auto"/>
                <w:sz w:val="24"/>
              </w:rPr>
            </w:pPr>
            <w:r>
              <w:rPr>
                <w:rFonts w:hint="eastAsia"/>
                <w:color w:val="auto"/>
                <w:sz w:val="24"/>
              </w:rPr>
              <w:t>砂石分离机分离出的砂、石</w:t>
            </w:r>
            <w:r>
              <w:rPr>
                <w:color w:val="auto"/>
                <w:sz w:val="24"/>
              </w:rPr>
              <w:t>年产生量110t，均回用于生产，不外排。</w:t>
            </w:r>
          </w:p>
          <w:p>
            <w:pPr>
              <w:snapToGrid w:val="0"/>
              <w:spacing w:line="360" w:lineRule="auto"/>
              <w:ind w:firstLine="480" w:firstLineChars="200"/>
              <w:rPr>
                <w:color w:val="auto"/>
                <w:sz w:val="24"/>
              </w:rPr>
            </w:pPr>
            <w:r>
              <w:rPr>
                <w:bCs/>
                <w:color w:val="auto"/>
                <w:sz w:val="24"/>
              </w:rPr>
              <w:t>实验室将产生少量废弃的混凝土试验块，</w:t>
            </w:r>
            <w:r>
              <w:rPr>
                <w:color w:val="auto"/>
                <w:sz w:val="24"/>
              </w:rPr>
              <w:t>类比同规模同类型企业，产生量约为5t/a，每天产生量较少，经砂石分离机分离出砂、石后回用于生产。</w:t>
            </w:r>
          </w:p>
          <w:p>
            <w:pPr>
              <w:snapToGrid w:val="0"/>
              <w:spacing w:line="360" w:lineRule="auto"/>
              <w:ind w:firstLine="480" w:firstLineChars="200"/>
              <w:rPr>
                <w:bCs/>
                <w:color w:val="auto"/>
                <w:sz w:val="24"/>
              </w:rPr>
            </w:pPr>
            <w:r>
              <w:rPr>
                <w:rFonts w:hint="eastAsia"/>
                <w:bCs/>
                <w:color w:val="auto"/>
                <w:sz w:val="24"/>
              </w:rPr>
              <w:t>本项目对于搅拌系统及制砂生产线产生的粉尘采取脉冲式布袋降尘器收集，其中制砂生产线粉尘收集量约为</w:t>
            </w:r>
            <w:r>
              <w:rPr>
                <w:bCs/>
                <w:color w:val="auto"/>
                <w:sz w:val="24"/>
              </w:rPr>
              <w:t>370.63</w:t>
            </w:r>
            <w:r>
              <w:rPr>
                <w:rFonts w:hint="eastAsia"/>
                <w:bCs/>
                <w:color w:val="auto"/>
                <w:sz w:val="24"/>
              </w:rPr>
              <w:t>t/a，经密封收集后同</w:t>
            </w:r>
            <w:r>
              <w:rPr>
                <w:bCs/>
                <w:color w:val="auto"/>
                <w:sz w:val="24"/>
              </w:rPr>
              <w:t>石粉3339</w:t>
            </w:r>
            <w:r>
              <w:rPr>
                <w:rFonts w:hint="eastAsia"/>
                <w:bCs/>
                <w:color w:val="auto"/>
                <w:sz w:val="24"/>
              </w:rPr>
              <w:t>t/a外售给砖厂制砂，混凝土搅拌生产线收集粉尘为</w:t>
            </w:r>
            <w:r>
              <w:rPr>
                <w:bCs/>
                <w:color w:val="auto"/>
                <w:sz w:val="24"/>
              </w:rPr>
              <w:t>447.75</w:t>
            </w:r>
            <w:r>
              <w:rPr>
                <w:rFonts w:hint="eastAsia"/>
                <w:bCs/>
                <w:color w:val="auto"/>
                <w:sz w:val="24"/>
              </w:rPr>
              <w:t>t/a，该粉尘再次循环利用投入生产中，做到废渣零出场。</w:t>
            </w:r>
          </w:p>
          <w:p>
            <w:pPr>
              <w:snapToGrid w:val="0"/>
              <w:spacing w:line="360" w:lineRule="auto"/>
              <w:ind w:firstLine="480"/>
              <w:rPr>
                <w:b/>
                <w:color w:val="auto"/>
                <w:sz w:val="24"/>
              </w:rPr>
            </w:pPr>
            <w:r>
              <w:rPr>
                <w:b/>
                <w:color w:val="auto"/>
                <w:sz w:val="24"/>
              </w:rPr>
              <w:fldChar w:fldCharType="begin"/>
            </w:r>
            <w:r>
              <w:rPr>
                <w:rFonts w:hint="eastAsia"/>
                <w:b/>
                <w:color w:val="auto"/>
                <w:sz w:val="24"/>
              </w:rPr>
              <w:instrText xml:space="preserve">= 2 \* GB3</w:instrText>
            </w:r>
            <w:r>
              <w:rPr>
                <w:b/>
                <w:color w:val="auto"/>
                <w:sz w:val="24"/>
              </w:rPr>
              <w:fldChar w:fldCharType="separate"/>
            </w:r>
            <w:r>
              <w:rPr>
                <w:rFonts w:hint="eastAsia"/>
                <w:b/>
                <w:color w:val="auto"/>
                <w:sz w:val="24"/>
              </w:rPr>
              <w:t>②</w:t>
            </w:r>
            <w:r>
              <w:rPr>
                <w:b/>
                <w:color w:val="auto"/>
                <w:sz w:val="24"/>
              </w:rPr>
              <w:fldChar w:fldCharType="end"/>
            </w:r>
            <w:r>
              <w:rPr>
                <w:b/>
                <w:color w:val="auto"/>
                <w:sz w:val="24"/>
              </w:rPr>
              <w:t>员工生活垃圾</w:t>
            </w:r>
          </w:p>
          <w:p>
            <w:pPr>
              <w:snapToGrid w:val="0"/>
              <w:spacing w:line="360" w:lineRule="auto"/>
              <w:ind w:firstLine="480" w:firstLineChars="200"/>
              <w:rPr>
                <w:color w:val="auto"/>
                <w:sz w:val="24"/>
              </w:rPr>
            </w:pPr>
            <w:r>
              <w:rPr>
                <w:color w:val="auto"/>
                <w:sz w:val="24"/>
              </w:rPr>
              <w:t>项目员工生活垃圾为4.16t/a，须集中堆放，统一由环卫部门运往垃圾处理场作无害化处理，日产日清，并要选择好垃圾临时存放地的位置，尽量避免垃圾散发的臭味逸散。</w:t>
            </w:r>
          </w:p>
          <w:p>
            <w:pPr>
              <w:snapToGrid w:val="0"/>
              <w:spacing w:line="360" w:lineRule="auto"/>
              <w:ind w:firstLine="480" w:firstLineChars="200"/>
              <w:rPr>
                <w:color w:val="auto"/>
                <w:sz w:val="24"/>
              </w:rPr>
            </w:pPr>
            <w:r>
              <w:rPr>
                <w:color w:val="auto"/>
                <w:sz w:val="24"/>
              </w:rPr>
              <w:t>本项目产生固废识别及产生量一览表见表7-11。</w:t>
            </w:r>
          </w:p>
          <w:p>
            <w:pPr>
              <w:ind w:firstLine="118" w:firstLineChars="49"/>
              <w:jc w:val="center"/>
              <w:rPr>
                <w:b/>
                <w:color w:val="auto"/>
                <w:sz w:val="24"/>
              </w:rPr>
            </w:pPr>
          </w:p>
          <w:p>
            <w:pPr>
              <w:ind w:firstLine="118" w:firstLineChars="49"/>
              <w:jc w:val="center"/>
              <w:rPr>
                <w:b/>
                <w:color w:val="auto"/>
                <w:sz w:val="24"/>
              </w:rPr>
            </w:pPr>
            <w:r>
              <w:rPr>
                <w:b/>
                <w:color w:val="auto"/>
                <w:sz w:val="24"/>
              </w:rPr>
              <w:t>表7-11项目产生固体废物一览表</w:t>
            </w:r>
          </w:p>
          <w:tbl>
            <w:tblPr>
              <w:tblStyle w:val="29"/>
              <w:tblW w:w="9253" w:type="dxa"/>
              <w:jc w:val="center"/>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Layout w:type="fixed"/>
              <w:tblCellMar>
                <w:top w:w="0" w:type="dxa"/>
                <w:left w:w="108" w:type="dxa"/>
                <w:bottom w:w="0" w:type="dxa"/>
                <w:right w:w="108" w:type="dxa"/>
              </w:tblCellMar>
            </w:tblPr>
            <w:tblGrid>
              <w:gridCol w:w="702"/>
              <w:gridCol w:w="1759"/>
              <w:gridCol w:w="1693"/>
              <w:gridCol w:w="1497"/>
              <w:gridCol w:w="1206"/>
              <w:gridCol w:w="2396"/>
            </w:tblGrid>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tcBorders>
                    <w:top w:val="single" w:color="auto" w:sz="8" w:space="0"/>
                    <w:left w:val="single" w:color="auto" w:sz="8" w:space="0"/>
                    <w:bottom w:val="single" w:color="auto" w:sz="6" w:space="0"/>
                    <w:right w:val="single" w:color="auto" w:sz="6" w:space="0"/>
                  </w:tcBorders>
                  <w:vAlign w:val="center"/>
                </w:tcPr>
                <w:p>
                  <w:pPr>
                    <w:jc w:val="center"/>
                    <w:rPr>
                      <w:b/>
                      <w:color w:val="auto"/>
                    </w:rPr>
                  </w:pPr>
                  <w:r>
                    <w:rPr>
                      <w:b/>
                      <w:color w:val="auto"/>
                    </w:rPr>
                    <w:t>序号</w:t>
                  </w:r>
                </w:p>
              </w:tc>
              <w:tc>
                <w:tcPr>
                  <w:tcW w:w="1759" w:type="dxa"/>
                  <w:tcBorders>
                    <w:top w:val="single" w:color="auto" w:sz="8" w:space="0"/>
                    <w:left w:val="single" w:color="auto" w:sz="6" w:space="0"/>
                    <w:bottom w:val="single" w:color="auto" w:sz="6" w:space="0"/>
                    <w:right w:val="single" w:color="auto" w:sz="6" w:space="0"/>
                  </w:tcBorders>
                  <w:vAlign w:val="center"/>
                </w:tcPr>
                <w:p>
                  <w:pPr>
                    <w:jc w:val="center"/>
                    <w:rPr>
                      <w:b/>
                      <w:color w:val="auto"/>
                    </w:rPr>
                  </w:pPr>
                  <w:r>
                    <w:rPr>
                      <w:b/>
                      <w:color w:val="auto"/>
                    </w:rPr>
                    <w:t>名称</w:t>
                  </w:r>
                </w:p>
              </w:tc>
              <w:tc>
                <w:tcPr>
                  <w:tcW w:w="1693" w:type="dxa"/>
                  <w:tcBorders>
                    <w:top w:val="single" w:color="auto" w:sz="8" w:space="0"/>
                    <w:left w:val="single" w:color="auto" w:sz="6" w:space="0"/>
                    <w:bottom w:val="single" w:color="auto" w:sz="6" w:space="0"/>
                    <w:right w:val="single" w:color="auto" w:sz="6" w:space="0"/>
                  </w:tcBorders>
                  <w:vAlign w:val="center"/>
                </w:tcPr>
                <w:p>
                  <w:pPr>
                    <w:jc w:val="center"/>
                    <w:rPr>
                      <w:b/>
                      <w:color w:val="auto"/>
                    </w:rPr>
                  </w:pPr>
                  <w:r>
                    <w:rPr>
                      <w:b/>
                      <w:color w:val="auto"/>
                    </w:rPr>
                    <w:t>来源</w:t>
                  </w:r>
                </w:p>
              </w:tc>
              <w:tc>
                <w:tcPr>
                  <w:tcW w:w="1497" w:type="dxa"/>
                  <w:tcBorders>
                    <w:top w:val="single" w:color="auto" w:sz="8" w:space="0"/>
                    <w:left w:val="single" w:color="auto" w:sz="6" w:space="0"/>
                    <w:bottom w:val="single" w:color="auto" w:sz="6" w:space="0"/>
                    <w:right w:val="single" w:color="auto" w:sz="6" w:space="0"/>
                  </w:tcBorders>
                  <w:vAlign w:val="center"/>
                </w:tcPr>
                <w:p>
                  <w:pPr>
                    <w:jc w:val="center"/>
                    <w:rPr>
                      <w:b/>
                      <w:color w:val="auto"/>
                    </w:rPr>
                  </w:pPr>
                  <w:r>
                    <w:rPr>
                      <w:b/>
                      <w:color w:val="auto"/>
                    </w:rPr>
                    <w:t>废物识别</w:t>
                  </w:r>
                </w:p>
              </w:tc>
              <w:tc>
                <w:tcPr>
                  <w:tcW w:w="1206" w:type="dxa"/>
                  <w:tcBorders>
                    <w:top w:val="single" w:color="auto" w:sz="8" w:space="0"/>
                    <w:left w:val="single" w:color="auto" w:sz="6" w:space="0"/>
                    <w:bottom w:val="single" w:color="auto" w:sz="6" w:space="0"/>
                    <w:right w:val="single" w:color="auto" w:sz="6" w:space="0"/>
                  </w:tcBorders>
                  <w:vAlign w:val="center"/>
                </w:tcPr>
                <w:p>
                  <w:pPr>
                    <w:jc w:val="center"/>
                    <w:rPr>
                      <w:b/>
                      <w:color w:val="auto"/>
                    </w:rPr>
                  </w:pPr>
                  <w:r>
                    <w:rPr>
                      <w:b/>
                      <w:color w:val="auto"/>
                    </w:rPr>
                    <w:t>危废代码</w:t>
                  </w:r>
                </w:p>
              </w:tc>
              <w:tc>
                <w:tcPr>
                  <w:tcW w:w="2396" w:type="dxa"/>
                  <w:tcBorders>
                    <w:top w:val="single" w:color="auto" w:sz="8" w:space="0"/>
                    <w:left w:val="single" w:color="auto" w:sz="6" w:space="0"/>
                    <w:bottom w:val="single" w:color="auto" w:sz="6" w:space="0"/>
                    <w:right w:val="single" w:color="auto" w:sz="8" w:space="0"/>
                  </w:tcBorders>
                  <w:vAlign w:val="center"/>
                </w:tcPr>
                <w:p>
                  <w:pPr>
                    <w:jc w:val="center"/>
                    <w:rPr>
                      <w:b/>
                      <w:color w:val="auto"/>
                    </w:rPr>
                  </w:pPr>
                  <w:r>
                    <w:rPr>
                      <w:b/>
                      <w:color w:val="auto"/>
                    </w:rPr>
                    <w:t>处置方法</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vMerge w:val="restart"/>
                  <w:tcBorders>
                    <w:top w:val="single" w:color="auto" w:sz="6" w:space="0"/>
                    <w:left w:val="single" w:color="auto" w:sz="8" w:space="0"/>
                    <w:right w:val="single" w:color="auto" w:sz="6" w:space="0"/>
                  </w:tcBorders>
                  <w:vAlign w:val="center"/>
                </w:tcPr>
                <w:p>
                  <w:pPr>
                    <w:jc w:val="center"/>
                    <w:rPr>
                      <w:color w:val="auto"/>
                    </w:rPr>
                  </w:pPr>
                  <w:r>
                    <w:rPr>
                      <w:color w:val="auto"/>
                    </w:rPr>
                    <w:t>1</w:t>
                  </w:r>
                </w:p>
              </w:tc>
              <w:tc>
                <w:tcPr>
                  <w:tcW w:w="1759" w:type="dxa"/>
                  <w:vMerge w:val="restart"/>
                  <w:tcBorders>
                    <w:top w:val="single" w:color="auto" w:sz="6" w:space="0"/>
                    <w:left w:val="single" w:color="auto" w:sz="6" w:space="0"/>
                    <w:right w:val="single" w:color="auto" w:sz="6" w:space="0"/>
                  </w:tcBorders>
                  <w:vAlign w:val="center"/>
                </w:tcPr>
                <w:p>
                  <w:pPr>
                    <w:pStyle w:val="81"/>
                    <w:rPr>
                      <w:rFonts w:ascii="Times New Roman" w:hAnsi="Times New Roman"/>
                      <w:color w:val="auto"/>
                    </w:rPr>
                  </w:pPr>
                  <w:r>
                    <w:rPr>
                      <w:rFonts w:ascii="Times New Roman" w:hAnsi="Times New Roman"/>
                      <w:color w:val="auto"/>
                      <w:kern w:val="2"/>
                      <w:sz w:val="21"/>
                      <w:szCs w:val="21"/>
                    </w:rPr>
                    <w:t>一般工业固废</w:t>
                  </w:r>
                </w:p>
              </w:tc>
              <w:tc>
                <w:tcPr>
                  <w:tcW w:w="1693" w:type="dxa"/>
                  <w:tcBorders>
                    <w:top w:val="single" w:color="auto" w:sz="6" w:space="0"/>
                    <w:left w:val="single" w:color="auto" w:sz="6" w:space="0"/>
                    <w:bottom w:val="single" w:color="auto" w:sz="6" w:space="0"/>
                    <w:right w:val="single" w:color="auto" w:sz="6" w:space="0"/>
                  </w:tcBorders>
                  <w:vAlign w:val="center"/>
                </w:tcPr>
                <w:p>
                  <w:pPr>
                    <w:jc w:val="center"/>
                    <w:rPr>
                      <w:color w:val="auto"/>
                    </w:rPr>
                  </w:pPr>
                  <w:r>
                    <w:rPr>
                      <w:bCs/>
                      <w:color w:val="auto"/>
                      <w:szCs w:val="21"/>
                    </w:rPr>
                    <w:t>沉淀</w:t>
                  </w:r>
                  <w:r>
                    <w:rPr>
                      <w:rFonts w:hint="eastAsia"/>
                      <w:bCs/>
                      <w:color w:val="auto"/>
                      <w:szCs w:val="21"/>
                    </w:rPr>
                    <w:t>沉渣</w:t>
                  </w:r>
                </w:p>
              </w:tc>
              <w:tc>
                <w:tcPr>
                  <w:tcW w:w="1497" w:type="dxa"/>
                  <w:tcBorders>
                    <w:top w:val="single" w:color="auto" w:sz="6" w:space="0"/>
                    <w:left w:val="single" w:color="auto" w:sz="6" w:space="0"/>
                    <w:bottom w:val="single" w:color="auto" w:sz="6"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6" w:space="0"/>
                    <w:right w:val="single" w:color="auto" w:sz="6" w:space="0"/>
                  </w:tcBorders>
                  <w:vAlign w:val="center"/>
                </w:tcPr>
                <w:p>
                  <w:pPr>
                    <w:jc w:val="center"/>
                    <w:rPr>
                      <w:color w:val="auto"/>
                    </w:rPr>
                  </w:pPr>
                  <w:r>
                    <w:rPr>
                      <w:color w:val="auto"/>
                    </w:rPr>
                    <w:t>——</w:t>
                  </w:r>
                </w:p>
              </w:tc>
              <w:tc>
                <w:tcPr>
                  <w:tcW w:w="2396" w:type="dxa"/>
                  <w:tcBorders>
                    <w:top w:val="single" w:color="auto" w:sz="6" w:space="0"/>
                    <w:left w:val="single" w:color="auto" w:sz="6" w:space="0"/>
                    <w:bottom w:val="single" w:color="auto" w:sz="6" w:space="0"/>
                    <w:right w:val="single" w:color="auto" w:sz="8" w:space="0"/>
                  </w:tcBorders>
                  <w:vAlign w:val="center"/>
                </w:tcPr>
                <w:p>
                  <w:pPr>
                    <w:jc w:val="center"/>
                    <w:rPr>
                      <w:color w:val="auto"/>
                    </w:rPr>
                  </w:pPr>
                  <w:r>
                    <w:rPr>
                      <w:rFonts w:hint="eastAsia"/>
                      <w:color w:val="auto"/>
                    </w:rPr>
                    <w:t>回用</w:t>
                  </w:r>
                  <w:r>
                    <w:rPr>
                      <w:color w:val="auto"/>
                    </w:rPr>
                    <w:t>于生产</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vMerge w:val="continue"/>
                  <w:tcBorders>
                    <w:left w:val="single" w:color="auto" w:sz="8" w:space="0"/>
                    <w:right w:val="single" w:color="auto" w:sz="6" w:space="0"/>
                  </w:tcBorders>
                  <w:vAlign w:val="center"/>
                </w:tcPr>
                <w:p>
                  <w:pPr>
                    <w:jc w:val="center"/>
                    <w:rPr>
                      <w:color w:val="auto"/>
                    </w:rPr>
                  </w:pPr>
                </w:p>
              </w:tc>
              <w:tc>
                <w:tcPr>
                  <w:tcW w:w="1759" w:type="dxa"/>
                  <w:vMerge w:val="continue"/>
                  <w:tcBorders>
                    <w:left w:val="single" w:color="auto" w:sz="6" w:space="0"/>
                    <w:right w:val="single" w:color="auto" w:sz="6" w:space="0"/>
                  </w:tcBorders>
                  <w:vAlign w:val="center"/>
                </w:tcPr>
                <w:p>
                  <w:pPr>
                    <w:jc w:val="center"/>
                    <w:rPr>
                      <w:color w:val="auto"/>
                    </w:rPr>
                  </w:pPr>
                </w:p>
              </w:tc>
              <w:tc>
                <w:tcPr>
                  <w:tcW w:w="1693"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废混凝土试验块</w:t>
                  </w:r>
                </w:p>
              </w:tc>
              <w:tc>
                <w:tcPr>
                  <w:tcW w:w="1497"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w:t>
                  </w:r>
                </w:p>
              </w:tc>
              <w:tc>
                <w:tcPr>
                  <w:tcW w:w="2396" w:type="dxa"/>
                  <w:tcBorders>
                    <w:top w:val="single" w:color="auto" w:sz="6" w:space="0"/>
                    <w:left w:val="single" w:color="auto" w:sz="6" w:space="0"/>
                    <w:bottom w:val="single" w:color="auto" w:sz="6" w:space="0"/>
                    <w:right w:val="single" w:color="auto" w:sz="8" w:space="0"/>
                  </w:tcBorders>
                  <w:vAlign w:val="center"/>
                </w:tcPr>
                <w:p>
                  <w:pPr>
                    <w:jc w:val="center"/>
                    <w:rPr>
                      <w:color w:val="auto"/>
                    </w:rPr>
                  </w:pPr>
                  <w:r>
                    <w:rPr>
                      <w:color w:val="auto"/>
                    </w:rPr>
                    <w:t>收集后作为原料再利用</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vMerge w:val="continue"/>
                  <w:tcBorders>
                    <w:left w:val="single" w:color="auto" w:sz="8" w:space="0"/>
                    <w:right w:val="single" w:color="auto" w:sz="6" w:space="0"/>
                  </w:tcBorders>
                  <w:vAlign w:val="center"/>
                </w:tcPr>
                <w:p>
                  <w:pPr>
                    <w:jc w:val="center"/>
                    <w:rPr>
                      <w:color w:val="auto"/>
                    </w:rPr>
                  </w:pPr>
                </w:p>
              </w:tc>
              <w:tc>
                <w:tcPr>
                  <w:tcW w:w="1759" w:type="dxa"/>
                  <w:vMerge w:val="continue"/>
                  <w:tcBorders>
                    <w:left w:val="single" w:color="auto" w:sz="6" w:space="0"/>
                    <w:right w:val="single" w:color="auto" w:sz="6" w:space="0"/>
                  </w:tcBorders>
                  <w:vAlign w:val="center"/>
                </w:tcPr>
                <w:p>
                  <w:pPr>
                    <w:jc w:val="center"/>
                    <w:rPr>
                      <w:color w:val="auto"/>
                    </w:rPr>
                  </w:pPr>
                </w:p>
              </w:tc>
              <w:tc>
                <w:tcPr>
                  <w:tcW w:w="1693"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rFonts w:hint="eastAsia"/>
                      <w:color w:val="auto"/>
                    </w:rPr>
                    <w:t>搅拌</w:t>
                  </w:r>
                  <w:r>
                    <w:rPr>
                      <w:color w:val="auto"/>
                    </w:rPr>
                    <w:t>机、运输车辆的残留混凝土</w:t>
                  </w:r>
                </w:p>
              </w:tc>
              <w:tc>
                <w:tcPr>
                  <w:tcW w:w="1497"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4" w:space="0"/>
                    <w:right w:val="single" w:color="auto" w:sz="6" w:space="0"/>
                  </w:tcBorders>
                  <w:vAlign w:val="center"/>
                </w:tcPr>
                <w:p>
                  <w:pPr>
                    <w:jc w:val="center"/>
                    <w:rPr>
                      <w:color w:val="auto"/>
                    </w:rPr>
                  </w:pPr>
                </w:p>
              </w:tc>
              <w:tc>
                <w:tcPr>
                  <w:tcW w:w="2396" w:type="dxa"/>
                  <w:tcBorders>
                    <w:top w:val="single" w:color="auto" w:sz="6" w:space="0"/>
                    <w:left w:val="single" w:color="auto" w:sz="6" w:space="0"/>
                    <w:bottom w:val="single" w:color="auto" w:sz="6" w:space="0"/>
                    <w:right w:val="single" w:color="auto" w:sz="8" w:space="0"/>
                  </w:tcBorders>
                  <w:vAlign w:val="center"/>
                </w:tcPr>
                <w:p>
                  <w:pPr>
                    <w:jc w:val="center"/>
                    <w:rPr>
                      <w:color w:val="auto"/>
                    </w:rPr>
                  </w:pPr>
                  <w:r>
                    <w:rPr>
                      <w:color w:val="auto"/>
                    </w:rPr>
                    <w:t>收集后作为原料再利用</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vMerge w:val="continue"/>
                  <w:tcBorders>
                    <w:left w:val="single" w:color="auto" w:sz="8" w:space="0"/>
                    <w:right w:val="single" w:color="auto" w:sz="6" w:space="0"/>
                  </w:tcBorders>
                  <w:vAlign w:val="center"/>
                </w:tcPr>
                <w:p>
                  <w:pPr>
                    <w:jc w:val="center"/>
                    <w:rPr>
                      <w:color w:val="auto"/>
                    </w:rPr>
                  </w:pPr>
                </w:p>
              </w:tc>
              <w:tc>
                <w:tcPr>
                  <w:tcW w:w="1759" w:type="dxa"/>
                  <w:vMerge w:val="continue"/>
                  <w:tcBorders>
                    <w:left w:val="single" w:color="auto" w:sz="6" w:space="0"/>
                    <w:right w:val="single" w:color="auto" w:sz="6" w:space="0"/>
                  </w:tcBorders>
                  <w:vAlign w:val="center"/>
                </w:tcPr>
                <w:p>
                  <w:pPr>
                    <w:jc w:val="center"/>
                    <w:rPr>
                      <w:color w:val="auto"/>
                    </w:rPr>
                  </w:pPr>
                </w:p>
              </w:tc>
              <w:tc>
                <w:tcPr>
                  <w:tcW w:w="1693"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rFonts w:hint="eastAsia"/>
                      <w:color w:val="auto"/>
                    </w:rPr>
                    <w:t>混凝土搅拌生产线产生</w:t>
                  </w:r>
                  <w:r>
                    <w:rPr>
                      <w:color w:val="auto"/>
                    </w:rPr>
                    <w:t>粉尘</w:t>
                  </w:r>
                </w:p>
              </w:tc>
              <w:tc>
                <w:tcPr>
                  <w:tcW w:w="1497"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w:t>
                  </w:r>
                </w:p>
              </w:tc>
              <w:tc>
                <w:tcPr>
                  <w:tcW w:w="2396" w:type="dxa"/>
                  <w:tcBorders>
                    <w:top w:val="single" w:color="auto" w:sz="6" w:space="0"/>
                    <w:left w:val="single" w:color="auto" w:sz="6" w:space="0"/>
                    <w:bottom w:val="single" w:color="auto" w:sz="6" w:space="0"/>
                    <w:right w:val="single" w:color="auto" w:sz="8" w:space="0"/>
                  </w:tcBorders>
                  <w:vAlign w:val="center"/>
                </w:tcPr>
                <w:p>
                  <w:pPr>
                    <w:jc w:val="center"/>
                    <w:rPr>
                      <w:color w:val="auto"/>
                    </w:rPr>
                  </w:pPr>
                  <w:r>
                    <w:rPr>
                      <w:color w:val="auto"/>
                    </w:rPr>
                    <w:t>收集后作为原料再利用</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vMerge w:val="continue"/>
                  <w:tcBorders>
                    <w:left w:val="single" w:color="auto" w:sz="8" w:space="0"/>
                    <w:right w:val="single" w:color="auto" w:sz="6" w:space="0"/>
                  </w:tcBorders>
                  <w:vAlign w:val="center"/>
                </w:tcPr>
                <w:p>
                  <w:pPr>
                    <w:jc w:val="center"/>
                    <w:rPr>
                      <w:color w:val="auto"/>
                    </w:rPr>
                  </w:pPr>
                </w:p>
              </w:tc>
              <w:tc>
                <w:tcPr>
                  <w:tcW w:w="1759" w:type="dxa"/>
                  <w:vMerge w:val="continue"/>
                  <w:tcBorders>
                    <w:left w:val="single" w:color="auto" w:sz="6" w:space="0"/>
                    <w:right w:val="single" w:color="auto" w:sz="6" w:space="0"/>
                  </w:tcBorders>
                  <w:vAlign w:val="center"/>
                </w:tcPr>
                <w:p>
                  <w:pPr>
                    <w:jc w:val="center"/>
                    <w:rPr>
                      <w:color w:val="auto"/>
                    </w:rPr>
                  </w:pPr>
                </w:p>
              </w:tc>
              <w:tc>
                <w:tcPr>
                  <w:tcW w:w="1693"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rFonts w:hint="eastAsia"/>
                      <w:color w:val="auto"/>
                    </w:rPr>
                    <w:t>制砂生产线产生石</w:t>
                  </w:r>
                  <w:r>
                    <w:rPr>
                      <w:color w:val="auto"/>
                    </w:rPr>
                    <w:t>粉（粉</w:t>
                  </w:r>
                  <w:r>
                    <w:rPr>
                      <w:rFonts w:hint="eastAsia"/>
                      <w:color w:val="auto"/>
                    </w:rPr>
                    <w:t>尘</w:t>
                  </w:r>
                  <w:r>
                    <w:rPr>
                      <w:color w:val="auto"/>
                    </w:rPr>
                    <w:t>）</w:t>
                  </w:r>
                </w:p>
              </w:tc>
              <w:tc>
                <w:tcPr>
                  <w:tcW w:w="1497"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w:t>
                  </w:r>
                </w:p>
              </w:tc>
              <w:tc>
                <w:tcPr>
                  <w:tcW w:w="2396" w:type="dxa"/>
                  <w:tcBorders>
                    <w:top w:val="single" w:color="auto" w:sz="6" w:space="0"/>
                    <w:left w:val="single" w:color="auto" w:sz="6" w:space="0"/>
                    <w:bottom w:val="single" w:color="auto" w:sz="6" w:space="0"/>
                    <w:right w:val="single" w:color="auto" w:sz="8" w:space="0"/>
                  </w:tcBorders>
                  <w:vAlign w:val="center"/>
                </w:tcPr>
                <w:p>
                  <w:pPr>
                    <w:jc w:val="center"/>
                    <w:rPr>
                      <w:color w:val="auto"/>
                    </w:rPr>
                  </w:pPr>
                  <w:r>
                    <w:rPr>
                      <w:color w:val="auto"/>
                    </w:rPr>
                    <w:t>收集后外售给砖厂</w:t>
                  </w:r>
                </w:p>
              </w:tc>
            </w:tr>
            <w:tr>
              <w:tblPrEx>
                <w:tblBorders>
                  <w:top w:val="single" w:color="auto" w:sz="8" w:space="0"/>
                  <w:left w:val="single" w:color="auto" w:sz="8" w:space="0"/>
                  <w:bottom w:val="single" w:color="auto" w:sz="8" w:space="0"/>
                  <w:right w:val="single" w:color="auto" w:sz="8" w:space="0"/>
                  <w:insideH w:val="single" w:color="auto" w:sz="6" w:space="0"/>
                  <w:insideV w:val="single" w:color="auto" w:sz="6" w:space="0"/>
                </w:tblBorders>
                <w:tblCellMar>
                  <w:top w:w="0" w:type="dxa"/>
                  <w:left w:w="108" w:type="dxa"/>
                  <w:bottom w:w="0" w:type="dxa"/>
                  <w:right w:w="108" w:type="dxa"/>
                </w:tblCellMar>
              </w:tblPrEx>
              <w:trPr>
                <w:trHeight w:val="369" w:hRule="atLeast"/>
                <w:jc w:val="center"/>
              </w:trPr>
              <w:tc>
                <w:tcPr>
                  <w:tcW w:w="702" w:type="dxa"/>
                  <w:tcBorders>
                    <w:top w:val="single" w:color="auto" w:sz="6" w:space="0"/>
                    <w:left w:val="single" w:color="auto" w:sz="8" w:space="0"/>
                    <w:bottom w:val="single" w:color="auto" w:sz="8" w:space="0"/>
                    <w:right w:val="single" w:color="auto" w:sz="6" w:space="0"/>
                  </w:tcBorders>
                  <w:vAlign w:val="center"/>
                </w:tcPr>
                <w:p>
                  <w:pPr>
                    <w:jc w:val="center"/>
                    <w:rPr>
                      <w:color w:val="auto"/>
                    </w:rPr>
                  </w:pPr>
                  <w:r>
                    <w:rPr>
                      <w:color w:val="auto"/>
                    </w:rPr>
                    <w:t>2</w:t>
                  </w:r>
                </w:p>
              </w:tc>
              <w:tc>
                <w:tcPr>
                  <w:tcW w:w="1759" w:type="dxa"/>
                  <w:tcBorders>
                    <w:top w:val="single" w:color="auto" w:sz="6" w:space="0"/>
                    <w:left w:val="single" w:color="auto" w:sz="6" w:space="0"/>
                    <w:bottom w:val="single" w:color="auto" w:sz="8" w:space="0"/>
                    <w:right w:val="single" w:color="auto" w:sz="6" w:space="0"/>
                  </w:tcBorders>
                  <w:vAlign w:val="center"/>
                </w:tcPr>
                <w:p>
                  <w:pPr>
                    <w:jc w:val="center"/>
                    <w:rPr>
                      <w:color w:val="auto"/>
                    </w:rPr>
                  </w:pPr>
                  <w:r>
                    <w:rPr>
                      <w:color w:val="auto"/>
                    </w:rPr>
                    <w:t>生活垃圾</w:t>
                  </w:r>
                </w:p>
              </w:tc>
              <w:tc>
                <w:tcPr>
                  <w:tcW w:w="1693"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员工生活</w:t>
                  </w:r>
                </w:p>
              </w:tc>
              <w:tc>
                <w:tcPr>
                  <w:tcW w:w="1497"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一般工业固废</w:t>
                  </w:r>
                </w:p>
              </w:tc>
              <w:tc>
                <w:tcPr>
                  <w:tcW w:w="1206" w:type="dxa"/>
                  <w:tcBorders>
                    <w:top w:val="single" w:color="auto" w:sz="6" w:space="0"/>
                    <w:left w:val="single" w:color="auto" w:sz="6" w:space="0"/>
                    <w:bottom w:val="single" w:color="auto" w:sz="4" w:space="0"/>
                    <w:right w:val="single" w:color="auto" w:sz="6" w:space="0"/>
                  </w:tcBorders>
                  <w:vAlign w:val="center"/>
                </w:tcPr>
                <w:p>
                  <w:pPr>
                    <w:jc w:val="center"/>
                    <w:rPr>
                      <w:color w:val="auto"/>
                    </w:rPr>
                  </w:pPr>
                  <w:r>
                    <w:rPr>
                      <w:color w:val="auto"/>
                    </w:rPr>
                    <w:t>——</w:t>
                  </w:r>
                </w:p>
              </w:tc>
              <w:tc>
                <w:tcPr>
                  <w:tcW w:w="2396" w:type="dxa"/>
                  <w:tcBorders>
                    <w:top w:val="single" w:color="auto" w:sz="6" w:space="0"/>
                    <w:left w:val="single" w:color="auto" w:sz="6" w:space="0"/>
                    <w:bottom w:val="single" w:color="auto" w:sz="8" w:space="0"/>
                    <w:right w:val="single" w:color="auto" w:sz="8" w:space="0"/>
                  </w:tcBorders>
                  <w:vAlign w:val="center"/>
                </w:tcPr>
                <w:p>
                  <w:pPr>
                    <w:jc w:val="center"/>
                    <w:rPr>
                      <w:color w:val="auto"/>
                    </w:rPr>
                  </w:pPr>
                  <w:r>
                    <w:rPr>
                      <w:color w:val="auto"/>
                    </w:rPr>
                    <w:t>环卫部门统一处理</w:t>
                  </w:r>
                </w:p>
              </w:tc>
            </w:tr>
          </w:tbl>
          <w:p>
            <w:pPr>
              <w:pStyle w:val="58"/>
              <w:tabs>
                <w:tab w:val="left" w:pos="7275"/>
              </w:tabs>
              <w:ind w:firstLine="400" w:firstLineChars="200"/>
              <w:jc w:val="both"/>
              <w:rPr>
                <w:rFonts w:eastAsia="宋体"/>
                <w:color w:val="auto"/>
              </w:rPr>
            </w:pPr>
            <w:r>
              <w:rPr>
                <w:rFonts w:eastAsia="宋体"/>
                <w:color w:val="auto"/>
              </w:rPr>
              <w:tab/>
            </w:r>
          </w:p>
          <w:p>
            <w:pPr>
              <w:pStyle w:val="67"/>
              <w:snapToGrid w:val="0"/>
              <w:spacing w:line="360" w:lineRule="auto"/>
              <w:ind w:firstLine="480" w:firstLineChars="200"/>
              <w:rPr>
                <w:rFonts w:ascii="Times New Roman" w:cs="Times New Roman"/>
                <w:color w:val="auto"/>
              </w:rPr>
            </w:pPr>
            <w:r>
              <w:rPr>
                <w:rFonts w:ascii="Times New Roman" w:cs="Times New Roman"/>
                <w:color w:val="auto"/>
              </w:rPr>
              <w:t>建设单位</w:t>
            </w:r>
            <w:r>
              <w:rPr>
                <w:rFonts w:ascii="Times New Roman" w:cs="Times New Roman"/>
                <w:bCs/>
                <w:color w:val="auto"/>
                <w:szCs w:val="21"/>
              </w:rPr>
              <w:t>应设置暂存点暂存固废，并设置防火防雨淋措施，一般工业固废和粉尘回用于生产过程中，生活垃圾由环卫部门收集统一处理。</w:t>
            </w:r>
            <w:r>
              <w:rPr>
                <w:rFonts w:ascii="Times New Roman" w:cs="Times New Roman"/>
                <w:color w:val="auto"/>
              </w:rPr>
              <w:t>项目运营后产生的固体废物种类明确，各类固体废物处置去向明确，切实可行，不会造成二次污染。</w:t>
            </w:r>
          </w:p>
          <w:p>
            <w:pPr>
              <w:pStyle w:val="23"/>
              <w:snapToGrid w:val="0"/>
              <w:spacing w:line="360" w:lineRule="auto"/>
              <w:ind w:firstLine="482"/>
              <w:rPr>
                <w:rFonts w:ascii="Times New Roman"/>
                <w:b/>
                <w:bCs/>
                <w:color w:val="auto"/>
              </w:rPr>
            </w:pPr>
            <w:r>
              <w:rPr>
                <w:rFonts w:hint="eastAsia" w:ascii="Times New Roman"/>
                <w:b/>
                <w:bCs/>
                <w:color w:val="auto"/>
              </w:rPr>
              <w:t>5、地下水环境影响分析</w:t>
            </w:r>
          </w:p>
          <w:p>
            <w:pPr>
              <w:pStyle w:val="23"/>
              <w:snapToGrid w:val="0"/>
              <w:spacing w:line="360" w:lineRule="auto"/>
              <w:rPr>
                <w:rFonts w:ascii="Times New Roman"/>
                <w:color w:val="auto"/>
              </w:rPr>
            </w:pPr>
            <w:r>
              <w:rPr>
                <w:rFonts w:hint="eastAsia" w:ascii="Times New Roman"/>
                <w:color w:val="auto"/>
              </w:rPr>
              <w:t>根据《环境影响评价技术导则地下水环境》（HJ610-2016），对照附录A“地下水环境影响评价行业分类表”，本项目属IV类项目，可不开展地下水环境影响评价工作。</w:t>
            </w:r>
          </w:p>
          <w:p>
            <w:pPr>
              <w:pStyle w:val="23"/>
              <w:snapToGrid w:val="0"/>
              <w:spacing w:line="360" w:lineRule="auto"/>
              <w:rPr>
                <w:rFonts w:ascii="Times New Roman"/>
                <w:color w:val="auto"/>
              </w:rPr>
            </w:pPr>
            <w:r>
              <w:rPr>
                <w:rFonts w:hint="eastAsia" w:ascii="Times New Roman"/>
                <w:color w:val="auto"/>
              </w:rPr>
              <w:t>本项目没有渗井、污灌等排污方式。根据项目所处区域的地质情况，本项目营运期可能对地下水造成污染的途径主要是污水处理设施、化粪池、污水管道等污水下渗对地下水造成的污染。为防止对地下水环境的影响，建议建设单位对这些场所做好硬底化及防渗防泄漏措施，定期对用水及排水管网进行测漏检修，确保这些设施正常运行。在营运期经过对地面、沉淀池、排水管道、化粪池等采取硬化及防渗措施后，项目营运期不会对地下水环境产生明显的影响。</w:t>
            </w:r>
          </w:p>
          <w:p>
            <w:pPr>
              <w:pStyle w:val="23"/>
              <w:snapToGrid w:val="0"/>
              <w:spacing w:line="360" w:lineRule="auto"/>
              <w:ind w:firstLine="482"/>
              <w:rPr>
                <w:rFonts w:ascii="Times New Roman"/>
                <w:b/>
                <w:color w:val="auto"/>
              </w:rPr>
            </w:pPr>
            <w:r>
              <w:rPr>
                <w:rFonts w:hint="eastAsia" w:ascii="Times New Roman"/>
                <w:b/>
                <w:color w:val="auto"/>
              </w:rPr>
              <w:t>6、土壤环境影响分析</w:t>
            </w:r>
          </w:p>
          <w:p>
            <w:pPr>
              <w:pStyle w:val="67"/>
              <w:snapToGrid w:val="0"/>
              <w:spacing w:line="360" w:lineRule="auto"/>
              <w:ind w:firstLine="480" w:firstLineChars="200"/>
              <w:rPr>
                <w:color w:val="auto"/>
              </w:rPr>
            </w:pPr>
            <w:r>
              <w:rPr>
                <w:rFonts w:hint="eastAsia" w:ascii="Times New Roman"/>
                <w:color w:val="auto"/>
              </w:rPr>
              <w:t>根据《环境影响评价技术导则土壤环境（试行）》（HJ964-2018），本项目</w:t>
            </w:r>
            <w:r>
              <w:rPr>
                <w:rFonts w:ascii="Times New Roman"/>
                <w:color w:val="auto"/>
              </w:rPr>
              <w:t>不属于</w:t>
            </w:r>
            <w:r>
              <w:rPr>
                <w:rFonts w:hint="eastAsia" w:ascii="Times New Roman"/>
                <w:color w:val="auto"/>
              </w:rPr>
              <w:t>化工</w:t>
            </w:r>
            <w:r>
              <w:rPr>
                <w:rFonts w:ascii="Times New Roman"/>
                <w:color w:val="auto"/>
              </w:rPr>
              <w:t>、冶金</w:t>
            </w:r>
            <w:r>
              <w:rPr>
                <w:rFonts w:hint="eastAsia" w:ascii="Times New Roman"/>
                <w:color w:val="auto"/>
              </w:rPr>
              <w:t>、</w:t>
            </w:r>
            <w:r>
              <w:rPr>
                <w:rFonts w:ascii="Times New Roman"/>
                <w:color w:val="auto"/>
              </w:rPr>
              <w:t>矿山挖掘、</w:t>
            </w:r>
            <w:r>
              <w:rPr>
                <w:rFonts w:hint="eastAsia" w:ascii="Times New Roman"/>
                <w:color w:val="auto"/>
              </w:rPr>
              <w:t>农林</w:t>
            </w:r>
            <w:r>
              <w:rPr>
                <w:rFonts w:ascii="Times New Roman"/>
                <w:color w:val="auto"/>
              </w:rPr>
              <w:t>、水利等</w:t>
            </w:r>
            <w:r>
              <w:rPr>
                <w:rFonts w:hint="eastAsia" w:ascii="Times New Roman"/>
                <w:color w:val="auto"/>
              </w:rPr>
              <w:t>对</w:t>
            </w:r>
            <w:r>
              <w:rPr>
                <w:rFonts w:ascii="Times New Roman"/>
                <w:color w:val="auto"/>
              </w:rPr>
              <w:t>土壤环境产生</w:t>
            </w:r>
            <w:r>
              <w:rPr>
                <w:rFonts w:hint="eastAsia" w:ascii="Times New Roman"/>
                <w:color w:val="auto"/>
              </w:rPr>
              <w:t>影响</w:t>
            </w:r>
            <w:r>
              <w:rPr>
                <w:rFonts w:ascii="Times New Roman"/>
                <w:color w:val="auto"/>
              </w:rPr>
              <w:t>的建设项目</w:t>
            </w:r>
            <w:r>
              <w:rPr>
                <w:rFonts w:hint="eastAsia" w:ascii="Times New Roman"/>
                <w:color w:val="auto"/>
              </w:rPr>
              <w:t>，对照附录A“土壤环境影响评</w:t>
            </w:r>
          </w:p>
          <w:p>
            <w:pPr>
              <w:pStyle w:val="67"/>
              <w:snapToGrid w:val="0"/>
              <w:spacing w:line="360" w:lineRule="auto"/>
              <w:ind w:firstLine="480" w:firstLineChars="200"/>
              <w:rPr>
                <w:rFonts w:ascii="Times New Roman" w:cs="Times New Roman"/>
                <w:color w:val="auto"/>
              </w:rPr>
            </w:pPr>
            <w:r>
              <w:rPr>
                <w:color w:val="auto"/>
              </w:rPr>
              <w:t>本项目主要</w:t>
            </w:r>
            <w:r>
              <w:rPr>
                <w:rFonts w:hint="eastAsia"/>
                <w:color w:val="auto"/>
              </w:rPr>
              <w:t>大气</w:t>
            </w:r>
            <w:r>
              <w:rPr>
                <w:color w:val="auto"/>
              </w:rPr>
              <w:t>污染物为粉尘，</w:t>
            </w:r>
            <w:r>
              <w:rPr>
                <w:rFonts w:hint="eastAsia"/>
                <w:color w:val="auto"/>
              </w:rPr>
              <w:t>经落实除尘设备</w:t>
            </w:r>
            <w:r>
              <w:rPr>
                <w:color w:val="auto"/>
              </w:rPr>
              <w:t>、</w:t>
            </w:r>
            <w:r>
              <w:rPr>
                <w:rFonts w:hint="eastAsia"/>
                <w:color w:val="auto"/>
              </w:rPr>
              <w:t>料场</w:t>
            </w:r>
            <w:r>
              <w:rPr>
                <w:color w:val="auto"/>
              </w:rPr>
              <w:t>围挡</w:t>
            </w:r>
            <w:r>
              <w:rPr>
                <w:rFonts w:hint="eastAsia"/>
                <w:color w:val="auto"/>
              </w:rPr>
              <w:t>及顶棚</w:t>
            </w:r>
            <w:r>
              <w:rPr>
                <w:color w:val="auto"/>
              </w:rPr>
              <w:t>等措施，</w:t>
            </w:r>
            <w:r>
              <w:rPr>
                <w:rFonts w:hint="eastAsia"/>
                <w:color w:val="auto"/>
              </w:rPr>
              <w:t>粉尘</w:t>
            </w:r>
            <w:r>
              <w:rPr>
                <w:color w:val="auto"/>
              </w:rPr>
              <w:t>对周边</w:t>
            </w:r>
            <w:r>
              <w:rPr>
                <w:rFonts w:hint="eastAsia"/>
                <w:color w:val="auto"/>
              </w:rPr>
              <w:t>环境</w:t>
            </w:r>
            <w:r>
              <w:rPr>
                <w:color w:val="auto"/>
              </w:rPr>
              <w:t>不会造成影响；</w:t>
            </w:r>
            <w:r>
              <w:rPr>
                <w:rFonts w:hint="eastAsia"/>
                <w:color w:val="auto"/>
              </w:rPr>
              <w:t>清洗废水主要污染物</w:t>
            </w:r>
            <w:r>
              <w:rPr>
                <w:color w:val="auto"/>
              </w:rPr>
              <w:t>为SS</w:t>
            </w:r>
            <w:r>
              <w:rPr>
                <w:rFonts w:hint="eastAsia"/>
                <w:color w:val="auto"/>
              </w:rPr>
              <w:t>，</w:t>
            </w:r>
            <w:r>
              <w:rPr>
                <w:color w:val="auto"/>
              </w:rPr>
              <w:t>经过处理能完全回用</w:t>
            </w:r>
            <w:r>
              <w:rPr>
                <w:rFonts w:hint="eastAsia"/>
                <w:color w:val="auto"/>
              </w:rPr>
              <w:t>；</w:t>
            </w:r>
            <w:r>
              <w:rPr>
                <w:color w:val="auto"/>
              </w:rPr>
              <w:t>生活污水经处理处理后用于站内绿化</w:t>
            </w:r>
            <w:r>
              <w:rPr>
                <w:rFonts w:hint="eastAsia"/>
                <w:color w:val="auto"/>
              </w:rPr>
              <w:t>；固体废物大部分可收集回用于</w:t>
            </w:r>
            <w:r>
              <w:rPr>
                <w:color w:val="auto"/>
              </w:rPr>
              <w:t>生产，</w:t>
            </w:r>
            <w:r>
              <w:rPr>
                <w:rFonts w:hint="eastAsia"/>
                <w:color w:val="auto"/>
              </w:rPr>
              <w:t>部分</w:t>
            </w:r>
            <w:r>
              <w:rPr>
                <w:color w:val="auto"/>
              </w:rPr>
              <w:t>外运</w:t>
            </w:r>
            <w:r>
              <w:rPr>
                <w:rFonts w:hint="eastAsia"/>
                <w:color w:val="auto"/>
              </w:rPr>
              <w:t>处置</w:t>
            </w:r>
            <w:r>
              <w:rPr>
                <w:color w:val="auto"/>
              </w:rPr>
              <w:t>，不</w:t>
            </w:r>
            <w:r>
              <w:rPr>
                <w:rFonts w:hint="eastAsia"/>
                <w:color w:val="auto"/>
              </w:rPr>
              <w:t>得</w:t>
            </w:r>
            <w:r>
              <w:rPr>
                <w:color w:val="auto"/>
              </w:rPr>
              <w:t>随意丢弃</w:t>
            </w:r>
            <w:r>
              <w:rPr>
                <w:rFonts w:hint="eastAsia"/>
                <w:color w:val="auto"/>
              </w:rPr>
              <w:t>污染土壤。项目</w:t>
            </w:r>
            <w:r>
              <w:rPr>
                <w:color w:val="auto"/>
              </w:rPr>
              <w:t>不存在重金属沉降</w:t>
            </w:r>
            <w:r>
              <w:rPr>
                <w:rFonts w:hint="eastAsia"/>
                <w:color w:val="auto"/>
              </w:rPr>
              <w:t>和</w:t>
            </w:r>
            <w:r>
              <w:rPr>
                <w:color w:val="auto"/>
              </w:rPr>
              <w:t>持久性污染物，</w:t>
            </w:r>
            <w:r>
              <w:rPr>
                <w:rFonts w:hint="eastAsia"/>
                <w:color w:val="auto"/>
              </w:rPr>
              <w:t>基本</w:t>
            </w:r>
            <w:r>
              <w:rPr>
                <w:color w:val="auto"/>
              </w:rPr>
              <w:t>不存在土壤污染因子和污染途径</w:t>
            </w:r>
            <w:r>
              <w:rPr>
                <w:rFonts w:hint="eastAsia"/>
                <w:color w:val="auto"/>
              </w:rPr>
              <w:t>，</w:t>
            </w:r>
            <w:r>
              <w:rPr>
                <w:rFonts w:hint="eastAsia" w:ascii="Times New Roman"/>
                <w:color w:val="auto"/>
              </w:rPr>
              <w:t>项目</w:t>
            </w:r>
            <w:r>
              <w:rPr>
                <w:rFonts w:ascii="Times New Roman"/>
                <w:color w:val="auto"/>
              </w:rPr>
              <w:t>只要严格管理好各项环保措施正常运行，</w:t>
            </w:r>
            <w:r>
              <w:rPr>
                <w:rFonts w:hint="eastAsia" w:ascii="Times New Roman"/>
                <w:color w:val="auto"/>
              </w:rPr>
              <w:t>不会对</w:t>
            </w:r>
            <w:r>
              <w:rPr>
                <w:rFonts w:ascii="Times New Roman"/>
                <w:color w:val="auto"/>
              </w:rPr>
              <w:t>周边土壤环境造成</w:t>
            </w:r>
            <w:r>
              <w:rPr>
                <w:rFonts w:hint="eastAsia" w:ascii="Times New Roman"/>
                <w:color w:val="auto"/>
              </w:rPr>
              <w:t>影响。</w:t>
            </w:r>
          </w:p>
          <w:p>
            <w:pPr>
              <w:adjustRightInd w:val="0"/>
              <w:snapToGrid w:val="0"/>
              <w:spacing w:line="360" w:lineRule="auto"/>
              <w:ind w:firstLine="482" w:firstLineChars="200"/>
              <w:rPr>
                <w:b/>
                <w:color w:val="auto"/>
                <w:sz w:val="24"/>
              </w:rPr>
            </w:pPr>
            <w:r>
              <w:rPr>
                <w:rFonts w:hint="eastAsia"/>
                <w:b/>
                <w:color w:val="auto"/>
                <w:sz w:val="24"/>
              </w:rPr>
              <w:t>7</w:t>
            </w:r>
            <w:r>
              <w:rPr>
                <w:b/>
                <w:color w:val="auto"/>
                <w:sz w:val="24"/>
              </w:rPr>
              <w:t>、环境风险分析</w:t>
            </w:r>
          </w:p>
          <w:p>
            <w:pPr>
              <w:adjustRightInd w:val="0"/>
              <w:snapToGrid w:val="0"/>
              <w:spacing w:line="360" w:lineRule="auto"/>
              <w:ind w:firstLine="482" w:firstLineChars="200"/>
              <w:rPr>
                <w:b/>
                <w:bCs/>
                <w:color w:val="auto"/>
                <w:sz w:val="24"/>
              </w:rPr>
            </w:pPr>
            <w:r>
              <w:rPr>
                <w:rFonts w:hint="eastAsia"/>
                <w:b/>
                <w:bCs/>
                <w:color w:val="auto"/>
                <w:sz w:val="24"/>
              </w:rPr>
              <w:t>（1）评价原则</w:t>
            </w:r>
          </w:p>
          <w:p>
            <w:pPr>
              <w:adjustRightInd w:val="0"/>
              <w:snapToGrid w:val="0"/>
              <w:spacing w:line="360" w:lineRule="auto"/>
              <w:ind w:firstLine="480" w:firstLineChars="200"/>
              <w:rPr>
                <w:b/>
                <w:bCs/>
                <w:color w:val="auto"/>
                <w:sz w:val="24"/>
              </w:rPr>
            </w:pPr>
            <w:r>
              <w:rPr>
                <w:rFonts w:hint="eastAsia"/>
                <w:color w:val="auto"/>
                <w:sz w:val="24"/>
              </w:rPr>
              <w:t>按照《建设项目环境风险评价技术导则》（</w:t>
            </w:r>
            <w:r>
              <w:rPr>
                <w:color w:val="auto"/>
                <w:sz w:val="24"/>
              </w:rPr>
              <w:t>HT169-2018</w:t>
            </w:r>
            <w:r>
              <w:rPr>
                <w:rFonts w:hint="eastAsia"/>
                <w:color w:val="auto"/>
                <w:sz w:val="24"/>
              </w:rPr>
              <w:t>）的要求，环境风险评价应以突发性事故导致的危险物质环境急性损害防控为目标，对建设项目的环境风险进行分析、预测和评估，提出环境风险预防、控制、减缓措施，明确环境风险监控及应急要求，为建设项目环境风险防控提供科学依据。</w:t>
            </w:r>
          </w:p>
          <w:p>
            <w:pPr>
              <w:adjustRightInd w:val="0"/>
              <w:snapToGrid w:val="0"/>
              <w:spacing w:line="360" w:lineRule="auto"/>
              <w:ind w:firstLine="482" w:firstLineChars="200"/>
              <w:rPr>
                <w:b/>
                <w:bCs/>
                <w:color w:val="auto"/>
                <w:sz w:val="24"/>
              </w:rPr>
            </w:pPr>
            <w:r>
              <w:rPr>
                <w:rFonts w:hint="eastAsia"/>
                <w:b/>
                <w:bCs/>
                <w:color w:val="auto"/>
                <w:sz w:val="24"/>
              </w:rPr>
              <w:t>（2）评价依据</w:t>
            </w:r>
          </w:p>
          <w:p>
            <w:pPr>
              <w:adjustRightInd w:val="0"/>
              <w:snapToGrid w:val="0"/>
              <w:spacing w:line="360" w:lineRule="auto"/>
              <w:ind w:firstLine="482" w:firstLineChars="200"/>
              <w:rPr>
                <w:b/>
                <w:bCs/>
                <w:color w:val="auto"/>
                <w:sz w:val="24"/>
              </w:rPr>
            </w:pPr>
            <w:r>
              <w:rPr>
                <w:b/>
                <w:bCs/>
                <w:color w:val="auto"/>
                <w:sz w:val="24"/>
              </w:rPr>
              <w:t>①</w:t>
            </w:r>
            <w:r>
              <w:rPr>
                <w:rFonts w:hint="eastAsia"/>
                <w:b/>
                <w:bCs/>
                <w:color w:val="auto"/>
                <w:sz w:val="24"/>
              </w:rPr>
              <w:t>　风险调查</w:t>
            </w:r>
          </w:p>
          <w:p>
            <w:pPr>
              <w:adjustRightInd w:val="0"/>
              <w:snapToGrid w:val="0"/>
              <w:spacing w:line="360" w:lineRule="auto"/>
              <w:ind w:firstLine="480" w:firstLineChars="200"/>
              <w:rPr>
                <w:b/>
                <w:bCs/>
                <w:color w:val="auto"/>
                <w:sz w:val="24"/>
              </w:rPr>
            </w:pPr>
            <w:r>
              <w:rPr>
                <w:rFonts w:hint="eastAsia"/>
                <w:color w:val="auto"/>
                <w:sz w:val="24"/>
              </w:rPr>
              <w:t>根据《建设项目环境风险评价技术导则》 HJ/T169-2018），本项目原料和产品均不属于也不含有（HJ/T169-2018）附录B.列示的有毒物质、易燃物质、爆炸性物质和活性化学物质等危险物质，项目使用的原材料不属于危险化学品。根据项目概况，本项目主要环境风险是废水、废气处理设施故障导致排放风险。</w:t>
            </w:r>
          </w:p>
          <w:p>
            <w:pPr>
              <w:adjustRightInd w:val="0"/>
              <w:snapToGrid w:val="0"/>
              <w:spacing w:line="360" w:lineRule="auto"/>
              <w:ind w:firstLine="482" w:firstLineChars="200"/>
              <w:rPr>
                <w:b/>
                <w:bCs/>
                <w:color w:val="auto"/>
                <w:sz w:val="24"/>
              </w:rPr>
            </w:pPr>
            <w:r>
              <w:rPr>
                <w:rFonts w:hint="eastAsia"/>
                <w:b/>
                <w:bCs/>
                <w:color w:val="auto"/>
                <w:sz w:val="24"/>
              </w:rPr>
              <w:t>②</w:t>
            </w:r>
            <w:r>
              <w:rPr>
                <w:b/>
                <w:bCs/>
                <w:color w:val="auto"/>
                <w:sz w:val="24"/>
              </w:rPr>
              <w:t>风险</w:t>
            </w:r>
            <w:r>
              <w:rPr>
                <w:rFonts w:hint="eastAsia"/>
                <w:b/>
                <w:bCs/>
                <w:color w:val="auto"/>
                <w:sz w:val="24"/>
              </w:rPr>
              <w:t>潜势初判</w:t>
            </w:r>
          </w:p>
          <w:p>
            <w:pPr>
              <w:adjustRightInd w:val="0"/>
              <w:snapToGrid w:val="0"/>
              <w:spacing w:line="360" w:lineRule="auto"/>
              <w:ind w:firstLine="480" w:firstLineChars="200"/>
              <w:rPr>
                <w:rFonts w:ascii="宋体" w:hAnsi="宋体" w:cs="宋体"/>
                <w:snapToGrid w:val="0"/>
                <w:color w:val="auto"/>
                <w:kern w:val="0"/>
                <w:sz w:val="24"/>
              </w:rPr>
            </w:pPr>
            <w:r>
              <w:rPr>
                <w:rFonts w:hint="eastAsia" w:ascii="宋体" w:hAnsi="宋体" w:cs="宋体"/>
                <w:snapToGrid w:val="0"/>
                <w:color w:val="auto"/>
                <w:kern w:val="0"/>
                <w:sz w:val="24"/>
              </w:rPr>
              <w:t>根据《建设项目环境风险评价技术导则》（</w:t>
            </w:r>
            <w:r>
              <w:rPr>
                <w:snapToGrid w:val="0"/>
                <w:color w:val="auto"/>
                <w:kern w:val="0"/>
                <w:sz w:val="24"/>
              </w:rPr>
              <w:t>HT169-2018</w:t>
            </w:r>
            <w:r>
              <w:rPr>
                <w:rFonts w:hint="eastAsia" w:ascii="宋体" w:hAnsi="宋体" w:cs="宋体"/>
                <w:snapToGrid w:val="0"/>
                <w:color w:val="auto"/>
                <w:kern w:val="0"/>
                <w:sz w:val="24"/>
              </w:rPr>
              <w:t>）附录</w:t>
            </w:r>
            <w:r>
              <w:rPr>
                <w:snapToGrid w:val="0"/>
                <w:color w:val="auto"/>
                <w:kern w:val="0"/>
                <w:sz w:val="24"/>
              </w:rPr>
              <w:t>C，Q</w:t>
            </w:r>
            <w:r>
              <w:rPr>
                <w:rFonts w:hint="eastAsia" w:ascii="宋体" w:hAnsi="宋体" w:cs="宋体"/>
                <w:snapToGrid w:val="0"/>
                <w:color w:val="auto"/>
                <w:kern w:val="0"/>
                <w:sz w:val="24"/>
              </w:rPr>
              <w:t>按下式进行计算：</w:t>
            </w:r>
          </w:p>
          <w:p>
            <w:pPr>
              <w:pStyle w:val="67"/>
              <w:snapToGrid w:val="0"/>
              <w:spacing w:line="360" w:lineRule="auto"/>
              <w:jc w:val="center"/>
              <w:rPr>
                <w:rFonts w:hAnsi="宋体"/>
                <w:snapToGrid w:val="0"/>
                <w:color w:val="auto"/>
              </w:rPr>
            </w:pPr>
            <w:r>
              <w:rPr>
                <w:rFonts w:ascii="Times New Roman" w:cs="Times New Roman"/>
                <w:color w:val="auto"/>
                <w:kern w:val="2"/>
              </w:rPr>
              <w:drawing>
                <wp:inline distT="0" distB="0" distL="0" distR="0">
                  <wp:extent cx="1383665" cy="4216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383665" cy="421640"/>
                          </a:xfrm>
                          <a:prstGeom prst="rect">
                            <a:avLst/>
                          </a:prstGeom>
                          <a:noFill/>
                          <a:ln>
                            <a:noFill/>
                          </a:ln>
                        </pic:spPr>
                      </pic:pic>
                    </a:graphicData>
                  </a:graphic>
                </wp:inline>
              </w:drawing>
            </w:r>
          </w:p>
          <w:p>
            <w:pPr>
              <w:widowControl/>
              <w:adjustRightInd w:val="0"/>
              <w:snapToGrid w:val="0"/>
              <w:spacing w:line="360" w:lineRule="auto"/>
              <w:ind w:firstLine="480" w:firstLineChars="200"/>
              <w:jc w:val="left"/>
              <w:rPr>
                <w:color w:val="auto"/>
                <w:sz w:val="24"/>
              </w:rPr>
            </w:pPr>
            <w:r>
              <w:rPr>
                <w:rFonts w:hint="eastAsia" w:cs="宋体"/>
                <w:color w:val="auto"/>
                <w:sz w:val="24"/>
              </w:rPr>
              <w:t>式中：</w:t>
            </w:r>
            <w:r>
              <w:rPr>
                <w:color w:val="auto"/>
                <w:sz w:val="24"/>
              </w:rPr>
              <w:t>q</w:t>
            </w:r>
            <w:r>
              <w:rPr>
                <w:color w:val="auto"/>
                <w:sz w:val="24"/>
                <w:vertAlign w:val="subscript"/>
              </w:rPr>
              <w:t>1</w:t>
            </w:r>
            <w:r>
              <w:rPr>
                <w:rFonts w:hint="eastAsia" w:cs="宋体"/>
                <w:color w:val="auto"/>
                <w:sz w:val="24"/>
              </w:rPr>
              <w:t>、</w:t>
            </w:r>
            <w:r>
              <w:rPr>
                <w:color w:val="auto"/>
                <w:sz w:val="24"/>
              </w:rPr>
              <w:t>q</w:t>
            </w:r>
            <w:r>
              <w:rPr>
                <w:color w:val="auto"/>
                <w:sz w:val="24"/>
                <w:vertAlign w:val="subscript"/>
              </w:rPr>
              <w:t>2......</w:t>
            </w:r>
            <w:r>
              <w:rPr>
                <w:color w:val="auto"/>
                <w:sz w:val="24"/>
              </w:rPr>
              <w:t xml:space="preserve"> q</w:t>
            </w:r>
            <w:r>
              <w:rPr>
                <w:color w:val="auto"/>
                <w:sz w:val="24"/>
                <w:vertAlign w:val="subscript"/>
              </w:rPr>
              <w:t>n</w:t>
            </w:r>
            <w:r>
              <w:rPr>
                <w:color w:val="auto"/>
                <w:sz w:val="24"/>
              </w:rPr>
              <w:t>—</w:t>
            </w:r>
            <w:r>
              <w:rPr>
                <w:rFonts w:hint="eastAsia" w:cs="宋体"/>
                <w:color w:val="auto"/>
                <w:sz w:val="24"/>
              </w:rPr>
              <w:t>每种危险物质的最大存在量，</w:t>
            </w:r>
            <w:r>
              <w:rPr>
                <w:color w:val="auto"/>
                <w:sz w:val="24"/>
              </w:rPr>
              <w:t>t</w:t>
            </w:r>
            <w:r>
              <w:rPr>
                <w:rFonts w:hint="eastAsia" w:cs="宋体"/>
                <w:color w:val="auto"/>
                <w:sz w:val="24"/>
              </w:rPr>
              <w:t>。</w:t>
            </w:r>
          </w:p>
          <w:p>
            <w:pPr>
              <w:snapToGrid w:val="0"/>
              <w:spacing w:line="360" w:lineRule="auto"/>
              <w:ind w:firstLine="480" w:firstLineChars="200"/>
              <w:rPr>
                <w:color w:val="auto"/>
                <w:sz w:val="24"/>
              </w:rPr>
            </w:pPr>
            <w:r>
              <w:rPr>
                <w:color w:val="auto"/>
                <w:sz w:val="24"/>
              </w:rPr>
              <w:t xml:space="preserve">      Q</w:t>
            </w:r>
            <w:r>
              <w:rPr>
                <w:color w:val="auto"/>
                <w:sz w:val="24"/>
                <w:vertAlign w:val="subscript"/>
              </w:rPr>
              <w:t>1</w:t>
            </w:r>
            <w:r>
              <w:rPr>
                <w:rFonts w:hint="eastAsia" w:cs="宋体"/>
                <w:color w:val="auto"/>
                <w:sz w:val="24"/>
              </w:rPr>
              <w:t>、</w:t>
            </w:r>
            <w:r>
              <w:rPr>
                <w:color w:val="auto"/>
                <w:sz w:val="24"/>
              </w:rPr>
              <w:t>Q</w:t>
            </w:r>
            <w:r>
              <w:rPr>
                <w:color w:val="auto"/>
                <w:sz w:val="24"/>
                <w:vertAlign w:val="subscript"/>
              </w:rPr>
              <w:t>2……</w:t>
            </w:r>
            <w:r>
              <w:rPr>
                <w:color w:val="auto"/>
                <w:sz w:val="24"/>
              </w:rPr>
              <w:t>Q</w:t>
            </w:r>
            <w:r>
              <w:rPr>
                <w:color w:val="auto"/>
                <w:sz w:val="24"/>
                <w:vertAlign w:val="subscript"/>
              </w:rPr>
              <w:t>n</w:t>
            </w:r>
            <w:r>
              <w:rPr>
                <w:color w:val="auto"/>
                <w:sz w:val="24"/>
              </w:rPr>
              <w:t>—</w:t>
            </w:r>
            <w:r>
              <w:rPr>
                <w:rFonts w:hint="eastAsia" w:cs="宋体"/>
                <w:color w:val="auto"/>
                <w:sz w:val="24"/>
              </w:rPr>
              <w:t>每种危险物质的临界量，</w:t>
            </w:r>
            <w:r>
              <w:rPr>
                <w:color w:val="auto"/>
                <w:sz w:val="24"/>
              </w:rPr>
              <w:t>t</w:t>
            </w:r>
            <w:r>
              <w:rPr>
                <w:rFonts w:hint="eastAsia" w:cs="宋体"/>
                <w:color w:val="auto"/>
                <w:sz w:val="24"/>
              </w:rPr>
              <w:t>。</w:t>
            </w:r>
          </w:p>
          <w:p>
            <w:pPr>
              <w:snapToGrid w:val="0"/>
              <w:spacing w:line="360" w:lineRule="auto"/>
              <w:ind w:firstLine="480" w:firstLineChars="200"/>
              <w:rPr>
                <w:color w:val="auto"/>
                <w:sz w:val="24"/>
              </w:rPr>
            </w:pPr>
            <w:r>
              <w:rPr>
                <w:rFonts w:hint="eastAsia" w:cs="宋体"/>
                <w:color w:val="auto"/>
                <w:sz w:val="24"/>
              </w:rPr>
              <w:t>当</w:t>
            </w:r>
            <w:r>
              <w:rPr>
                <w:color w:val="auto"/>
                <w:sz w:val="24"/>
              </w:rPr>
              <w:t>Q&lt;1</w:t>
            </w:r>
            <w:r>
              <w:rPr>
                <w:rFonts w:hint="eastAsia" w:cs="宋体"/>
                <w:color w:val="auto"/>
                <w:sz w:val="24"/>
              </w:rPr>
              <w:t>时，该项目环境风险潜势为</w:t>
            </w:r>
            <w:r>
              <w:rPr>
                <w:rFonts w:hint="eastAsia" w:ascii="宋体" w:hAnsi="宋体" w:cs="宋体"/>
                <w:color w:val="auto"/>
                <w:sz w:val="24"/>
              </w:rPr>
              <w:t>Ⅰ</w:t>
            </w:r>
            <w:r>
              <w:rPr>
                <w:rFonts w:hint="eastAsia" w:cs="宋体"/>
                <w:color w:val="auto"/>
                <w:sz w:val="24"/>
              </w:rPr>
              <w:t>。</w:t>
            </w:r>
          </w:p>
          <w:p>
            <w:pPr>
              <w:snapToGrid w:val="0"/>
              <w:spacing w:line="360" w:lineRule="auto"/>
              <w:ind w:firstLine="480" w:firstLineChars="200"/>
              <w:rPr>
                <w:color w:val="auto"/>
                <w:sz w:val="24"/>
              </w:rPr>
            </w:pPr>
            <w:r>
              <w:rPr>
                <w:rFonts w:hint="eastAsia" w:cs="宋体"/>
                <w:color w:val="auto"/>
                <w:sz w:val="24"/>
              </w:rPr>
              <w:t>当</w:t>
            </w:r>
            <w:r>
              <w:rPr>
                <w:color w:val="auto"/>
                <w:sz w:val="24"/>
              </w:rPr>
              <w:t>Q≥1</w:t>
            </w:r>
            <w:r>
              <w:rPr>
                <w:rFonts w:hint="eastAsia" w:cs="宋体"/>
                <w:color w:val="auto"/>
                <w:sz w:val="24"/>
              </w:rPr>
              <w:t>时，将</w:t>
            </w:r>
            <w:r>
              <w:rPr>
                <w:color w:val="auto"/>
                <w:sz w:val="24"/>
              </w:rPr>
              <w:t>Q</w:t>
            </w:r>
            <w:r>
              <w:rPr>
                <w:rFonts w:hint="eastAsia" w:cs="宋体"/>
                <w:color w:val="auto"/>
                <w:sz w:val="24"/>
              </w:rPr>
              <w:t>值划分为：（</w:t>
            </w:r>
            <w:r>
              <w:rPr>
                <w:color w:val="auto"/>
                <w:sz w:val="24"/>
              </w:rPr>
              <w:t>1</w:t>
            </w:r>
            <w:r>
              <w:rPr>
                <w:rFonts w:hint="eastAsia" w:cs="宋体"/>
                <w:color w:val="auto"/>
                <w:sz w:val="24"/>
              </w:rPr>
              <w:t>）</w:t>
            </w:r>
            <w:r>
              <w:rPr>
                <w:color w:val="auto"/>
                <w:sz w:val="24"/>
              </w:rPr>
              <w:t>1≤Q</w:t>
            </w:r>
            <w:r>
              <w:rPr>
                <w:snapToGrid w:val="0"/>
                <w:color w:val="auto"/>
                <w:kern w:val="0"/>
                <w:sz w:val="24"/>
              </w:rPr>
              <w:t>﹤</w:t>
            </w:r>
            <w:r>
              <w:rPr>
                <w:color w:val="auto"/>
                <w:sz w:val="24"/>
              </w:rPr>
              <w:t>10</w:t>
            </w:r>
            <w:r>
              <w:rPr>
                <w:rFonts w:hint="eastAsia" w:cs="宋体"/>
                <w:color w:val="auto"/>
                <w:sz w:val="24"/>
              </w:rPr>
              <w:t>；（</w:t>
            </w:r>
            <w:r>
              <w:rPr>
                <w:color w:val="auto"/>
                <w:sz w:val="24"/>
              </w:rPr>
              <w:t>2</w:t>
            </w:r>
            <w:r>
              <w:rPr>
                <w:rFonts w:hint="eastAsia" w:cs="宋体"/>
                <w:color w:val="auto"/>
                <w:sz w:val="24"/>
              </w:rPr>
              <w:t>）</w:t>
            </w:r>
            <w:r>
              <w:rPr>
                <w:color w:val="auto"/>
                <w:sz w:val="24"/>
              </w:rPr>
              <w:t>10≤Q</w:t>
            </w:r>
            <w:r>
              <w:rPr>
                <w:snapToGrid w:val="0"/>
                <w:color w:val="auto"/>
                <w:kern w:val="0"/>
                <w:sz w:val="24"/>
              </w:rPr>
              <w:t>﹤</w:t>
            </w:r>
            <w:r>
              <w:rPr>
                <w:color w:val="auto"/>
                <w:sz w:val="24"/>
              </w:rPr>
              <w:t>100</w:t>
            </w:r>
            <w:r>
              <w:rPr>
                <w:rFonts w:hint="eastAsia" w:cs="宋体"/>
                <w:color w:val="auto"/>
                <w:sz w:val="24"/>
              </w:rPr>
              <w:t>；（</w:t>
            </w:r>
            <w:r>
              <w:rPr>
                <w:color w:val="auto"/>
                <w:sz w:val="24"/>
              </w:rPr>
              <w:t>3</w:t>
            </w:r>
            <w:r>
              <w:rPr>
                <w:rFonts w:hint="eastAsia" w:cs="宋体"/>
                <w:color w:val="auto"/>
                <w:sz w:val="24"/>
              </w:rPr>
              <w:t>）</w:t>
            </w:r>
            <w:r>
              <w:rPr>
                <w:color w:val="auto"/>
                <w:sz w:val="24"/>
              </w:rPr>
              <w:t>Q≥100</w:t>
            </w:r>
          </w:p>
          <w:p>
            <w:pPr>
              <w:adjustRightInd w:val="0"/>
              <w:snapToGrid w:val="0"/>
              <w:spacing w:line="360" w:lineRule="auto"/>
              <w:ind w:firstLine="480" w:firstLineChars="200"/>
              <w:rPr>
                <w:rFonts w:ascii="宋体" w:hAnsi="宋体" w:cs="宋体"/>
                <w:color w:val="auto"/>
                <w:sz w:val="24"/>
              </w:rPr>
            </w:pPr>
            <w:r>
              <w:rPr>
                <w:rFonts w:hint="eastAsia"/>
                <w:color w:val="auto"/>
                <w:sz w:val="24"/>
              </w:rPr>
              <w:t>本项目生产过程中使用的原辅材料不涉及危险化学品，则Q值</w:t>
            </w:r>
            <w:r>
              <w:rPr>
                <w:snapToGrid w:val="0"/>
                <w:color w:val="auto"/>
                <w:kern w:val="0"/>
                <w:sz w:val="24"/>
              </w:rPr>
              <w:t>﹤</w:t>
            </w:r>
            <w:r>
              <w:rPr>
                <w:rFonts w:hint="eastAsia"/>
                <w:snapToGrid w:val="0"/>
                <w:color w:val="auto"/>
                <w:kern w:val="0"/>
                <w:sz w:val="24"/>
              </w:rPr>
              <w:t>1，本项目风险潜势为</w:t>
            </w:r>
            <w:r>
              <w:rPr>
                <w:rFonts w:hint="eastAsia" w:ascii="宋体" w:hAnsi="宋体" w:cs="宋体"/>
                <w:color w:val="auto"/>
                <w:sz w:val="24"/>
              </w:rPr>
              <w:t>Ⅰ。</w:t>
            </w:r>
          </w:p>
          <w:p>
            <w:pPr>
              <w:pStyle w:val="67"/>
              <w:snapToGrid w:val="0"/>
              <w:spacing w:line="360" w:lineRule="auto"/>
              <w:ind w:firstLine="482" w:firstLineChars="200"/>
              <w:rPr>
                <w:rFonts w:ascii="Times New Roman" w:cs="Times New Roman"/>
                <w:b/>
                <w:bCs/>
                <w:color w:val="auto"/>
              </w:rPr>
            </w:pPr>
            <w:r>
              <w:rPr>
                <w:rFonts w:ascii="Times New Roman" w:cs="Times New Roman"/>
                <w:b/>
                <w:bCs/>
                <w:color w:val="auto"/>
              </w:rPr>
              <w:t>③</w:t>
            </w:r>
            <w:r>
              <w:rPr>
                <w:rFonts w:hint="eastAsia" w:ascii="Times New Roman" w:cs="Times New Roman"/>
                <w:b/>
                <w:bCs/>
                <w:color w:val="auto"/>
              </w:rPr>
              <w:t>评价等级</w:t>
            </w:r>
          </w:p>
          <w:p>
            <w:pPr>
              <w:snapToGrid w:val="0"/>
              <w:spacing w:line="360" w:lineRule="auto"/>
              <w:ind w:firstLine="480" w:firstLineChars="200"/>
              <w:rPr>
                <w:rFonts w:ascii="宋体" w:hAnsi="宋体" w:cs="宋体"/>
                <w:color w:val="auto"/>
                <w:sz w:val="24"/>
              </w:rPr>
            </w:pPr>
            <w:r>
              <w:rPr>
                <w:rFonts w:hint="eastAsia" w:cs="宋体"/>
                <w:color w:val="auto"/>
                <w:sz w:val="24"/>
              </w:rPr>
              <w:t>本项目危险物质在事故情形下的环境影响途径主要为大气和地表水，风险潜势为</w:t>
            </w:r>
            <w:r>
              <w:rPr>
                <w:rFonts w:hint="eastAsia" w:ascii="宋体" w:hAnsi="宋体" w:cs="宋体"/>
                <w:color w:val="auto"/>
                <w:sz w:val="24"/>
              </w:rPr>
              <w:t>Ⅰ，</w:t>
            </w:r>
            <w:r>
              <w:rPr>
                <w:rFonts w:hint="eastAsia" w:cs="宋体"/>
                <w:color w:val="auto"/>
                <w:sz w:val="24"/>
              </w:rPr>
              <w:t>根据《建设项目环境风险评价技术导则》</w:t>
            </w:r>
            <w:r>
              <w:rPr>
                <w:color w:val="auto"/>
                <w:sz w:val="24"/>
              </w:rPr>
              <w:t>(HT169-2018)</w:t>
            </w:r>
            <w:r>
              <w:rPr>
                <w:rFonts w:hint="eastAsia" w:cs="宋体"/>
                <w:color w:val="auto"/>
                <w:sz w:val="24"/>
              </w:rPr>
              <w:t>评价工作等级划分，确定本项目环境风险评价等级为简单分析</w:t>
            </w:r>
            <w:r>
              <w:rPr>
                <w:rFonts w:hint="eastAsia" w:ascii="宋体" w:hAnsi="宋体" w:cs="宋体"/>
                <w:color w:val="auto"/>
                <w:sz w:val="24"/>
              </w:rPr>
              <w:t>。</w:t>
            </w:r>
          </w:p>
          <w:p>
            <w:pPr>
              <w:spacing w:before="62" w:beforeLines="20"/>
              <w:ind w:firstLine="482" w:firstLineChars="200"/>
              <w:jc w:val="center"/>
              <w:rPr>
                <w:b/>
                <w:color w:val="auto"/>
                <w:sz w:val="24"/>
              </w:rPr>
            </w:pPr>
            <w:r>
              <w:rPr>
                <w:rFonts w:hint="eastAsia"/>
                <w:b/>
                <w:color w:val="auto"/>
                <w:sz w:val="24"/>
              </w:rPr>
              <w:t>表</w:t>
            </w:r>
            <w:r>
              <w:rPr>
                <w:b/>
                <w:color w:val="auto"/>
                <w:sz w:val="24"/>
              </w:rPr>
              <w:t>7-12</w:t>
            </w:r>
            <w:r>
              <w:rPr>
                <w:rFonts w:hint="eastAsia"/>
                <w:b/>
                <w:color w:val="auto"/>
                <w:sz w:val="24"/>
              </w:rPr>
              <w:t>风险评价工作级别划分</w:t>
            </w:r>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1761"/>
              <w:gridCol w:w="1761"/>
              <w:gridCol w:w="1761"/>
              <w:gridCol w:w="1762"/>
              <w:gridCol w:w="1762"/>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1761" w:type="dxa"/>
                  <w:vAlign w:val="center"/>
                </w:tcPr>
                <w:p>
                  <w:pPr>
                    <w:jc w:val="center"/>
                    <w:rPr>
                      <w:color w:val="auto"/>
                      <w:szCs w:val="21"/>
                    </w:rPr>
                  </w:pPr>
                  <w:r>
                    <w:rPr>
                      <w:color w:val="auto"/>
                      <w:szCs w:val="21"/>
                    </w:rPr>
                    <w:t>环境风险潜势</w:t>
                  </w:r>
                </w:p>
              </w:tc>
              <w:tc>
                <w:tcPr>
                  <w:tcW w:w="1761" w:type="dxa"/>
                  <w:vAlign w:val="center"/>
                </w:tcPr>
                <w:p>
                  <w:pPr>
                    <w:jc w:val="center"/>
                    <w:rPr>
                      <w:color w:val="auto"/>
                      <w:szCs w:val="21"/>
                    </w:rPr>
                  </w:pPr>
                  <w:r>
                    <w:rPr>
                      <w:color w:val="auto"/>
                      <w:szCs w:val="21"/>
                    </w:rPr>
                    <w:t>Ⅳ</w:t>
                  </w:r>
                  <w:r>
                    <w:rPr>
                      <w:color w:val="auto"/>
                      <w:szCs w:val="21"/>
                      <w:vertAlign w:val="superscript"/>
                    </w:rPr>
                    <w:t>+</w:t>
                  </w:r>
                  <w:r>
                    <w:rPr>
                      <w:color w:val="auto"/>
                      <w:szCs w:val="21"/>
                    </w:rPr>
                    <w:t>、Ⅳ</w:t>
                  </w:r>
                </w:p>
              </w:tc>
              <w:tc>
                <w:tcPr>
                  <w:tcW w:w="1761" w:type="dxa"/>
                  <w:vAlign w:val="center"/>
                </w:tcPr>
                <w:p>
                  <w:pPr>
                    <w:jc w:val="center"/>
                    <w:rPr>
                      <w:color w:val="auto"/>
                      <w:szCs w:val="21"/>
                    </w:rPr>
                  </w:pPr>
                  <w:r>
                    <w:rPr>
                      <w:color w:val="auto"/>
                      <w:szCs w:val="21"/>
                    </w:rPr>
                    <w:t>Ⅲ</w:t>
                  </w:r>
                </w:p>
              </w:tc>
              <w:tc>
                <w:tcPr>
                  <w:tcW w:w="1762" w:type="dxa"/>
                  <w:vAlign w:val="center"/>
                </w:tcPr>
                <w:p>
                  <w:pPr>
                    <w:jc w:val="center"/>
                    <w:rPr>
                      <w:color w:val="auto"/>
                      <w:szCs w:val="21"/>
                    </w:rPr>
                  </w:pPr>
                  <w:r>
                    <w:rPr>
                      <w:color w:val="auto"/>
                      <w:szCs w:val="21"/>
                    </w:rPr>
                    <w:t>Ⅱ</w:t>
                  </w:r>
                </w:p>
              </w:tc>
              <w:tc>
                <w:tcPr>
                  <w:tcW w:w="1762" w:type="dxa"/>
                  <w:vAlign w:val="center"/>
                </w:tcPr>
                <w:p>
                  <w:pPr>
                    <w:jc w:val="center"/>
                    <w:rPr>
                      <w:color w:val="auto"/>
                      <w:szCs w:val="21"/>
                    </w:rPr>
                  </w:pPr>
                  <w:r>
                    <w:rPr>
                      <w:color w:val="auto"/>
                      <w:szCs w:val="21"/>
                    </w:rPr>
                    <w:t>Ⅰ</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1761" w:type="dxa"/>
                  <w:vAlign w:val="center"/>
                </w:tcPr>
                <w:p>
                  <w:pPr>
                    <w:jc w:val="center"/>
                    <w:rPr>
                      <w:color w:val="auto"/>
                      <w:szCs w:val="21"/>
                    </w:rPr>
                  </w:pPr>
                  <w:r>
                    <w:rPr>
                      <w:color w:val="auto"/>
                      <w:szCs w:val="21"/>
                    </w:rPr>
                    <w:t>评价工作等级</w:t>
                  </w:r>
                </w:p>
              </w:tc>
              <w:tc>
                <w:tcPr>
                  <w:tcW w:w="1761" w:type="dxa"/>
                  <w:vAlign w:val="center"/>
                </w:tcPr>
                <w:p>
                  <w:pPr>
                    <w:jc w:val="center"/>
                    <w:rPr>
                      <w:color w:val="auto"/>
                      <w:szCs w:val="21"/>
                    </w:rPr>
                  </w:pPr>
                  <w:r>
                    <w:rPr>
                      <w:color w:val="auto"/>
                      <w:szCs w:val="21"/>
                    </w:rPr>
                    <w:t>一</w:t>
                  </w:r>
                </w:p>
              </w:tc>
              <w:tc>
                <w:tcPr>
                  <w:tcW w:w="1761" w:type="dxa"/>
                  <w:vAlign w:val="center"/>
                </w:tcPr>
                <w:p>
                  <w:pPr>
                    <w:jc w:val="center"/>
                    <w:rPr>
                      <w:color w:val="auto"/>
                      <w:szCs w:val="21"/>
                    </w:rPr>
                  </w:pPr>
                  <w:r>
                    <w:rPr>
                      <w:color w:val="auto"/>
                      <w:szCs w:val="21"/>
                    </w:rPr>
                    <w:t>二</w:t>
                  </w:r>
                </w:p>
              </w:tc>
              <w:tc>
                <w:tcPr>
                  <w:tcW w:w="1762" w:type="dxa"/>
                  <w:vAlign w:val="center"/>
                </w:tcPr>
                <w:p>
                  <w:pPr>
                    <w:jc w:val="center"/>
                    <w:rPr>
                      <w:color w:val="auto"/>
                      <w:szCs w:val="21"/>
                    </w:rPr>
                  </w:pPr>
                  <w:r>
                    <w:rPr>
                      <w:color w:val="auto"/>
                      <w:szCs w:val="21"/>
                    </w:rPr>
                    <w:t>三</w:t>
                  </w:r>
                </w:p>
              </w:tc>
              <w:tc>
                <w:tcPr>
                  <w:tcW w:w="1762" w:type="dxa"/>
                  <w:vAlign w:val="center"/>
                </w:tcPr>
                <w:p>
                  <w:pPr>
                    <w:jc w:val="center"/>
                    <w:rPr>
                      <w:color w:val="auto"/>
                      <w:szCs w:val="21"/>
                    </w:rPr>
                  </w:pPr>
                  <w:r>
                    <w:rPr>
                      <w:color w:val="auto"/>
                      <w:szCs w:val="21"/>
                    </w:rPr>
                    <w:t>简单分析</w:t>
                  </w:r>
                  <w:r>
                    <w:rPr>
                      <w:color w:val="auto"/>
                      <w:szCs w:val="21"/>
                      <w:vertAlign w:val="superscript"/>
                    </w:rPr>
                    <w:t>a</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8807" w:type="dxa"/>
                  <w:gridSpan w:val="5"/>
                  <w:vAlign w:val="center"/>
                </w:tcPr>
                <w:p>
                  <w:pPr>
                    <w:spacing w:before="62" w:beforeLines="20" w:line="360" w:lineRule="auto"/>
                    <w:jc w:val="center"/>
                    <w:rPr>
                      <w:color w:val="auto"/>
                      <w:szCs w:val="21"/>
                    </w:rPr>
                  </w:pPr>
                  <w:r>
                    <w:rPr>
                      <w:rFonts w:cs="宋体"/>
                      <w:color w:val="auto"/>
                      <w:szCs w:val="21"/>
                    </w:rPr>
                    <w:t>a</w:t>
                  </w:r>
                  <w:r>
                    <w:rPr>
                      <w:rFonts w:hint="eastAsia" w:cs="宋体"/>
                      <w:color w:val="auto"/>
                      <w:szCs w:val="21"/>
                    </w:rPr>
                    <w:t>是相对于详细评价工作内容而言，在描述危险物质、环境影响途径。环境危害后果，风险防范措施等方面给出定性说明，见附录</w:t>
                  </w:r>
                  <w:r>
                    <w:rPr>
                      <w:rFonts w:cs="宋体"/>
                      <w:color w:val="auto"/>
                      <w:szCs w:val="21"/>
                    </w:rPr>
                    <w:t>A</w:t>
                  </w:r>
                  <w:r>
                    <w:rPr>
                      <w:rFonts w:hint="eastAsia" w:cs="宋体"/>
                      <w:color w:val="auto"/>
                      <w:szCs w:val="21"/>
                    </w:rPr>
                    <w:t>。</w:t>
                  </w:r>
                </w:p>
              </w:tc>
            </w:tr>
          </w:tbl>
          <w:p>
            <w:pPr>
              <w:pStyle w:val="67"/>
              <w:spacing w:before="156" w:beforeLines="50" w:line="360" w:lineRule="auto"/>
              <w:ind w:left="420" w:leftChars="200"/>
              <w:rPr>
                <w:rFonts w:ascii="Times New Roman" w:cs="Times New Roman"/>
                <w:b/>
                <w:bCs/>
                <w:color w:val="auto"/>
              </w:rPr>
            </w:pPr>
            <w:r>
              <w:rPr>
                <w:rFonts w:hint="eastAsia" w:ascii="Times New Roman" w:cs="Times New Roman"/>
                <w:b/>
                <w:bCs/>
                <w:color w:val="auto"/>
              </w:rPr>
              <w:t>（3）风险识别</w:t>
            </w:r>
          </w:p>
          <w:p>
            <w:pPr>
              <w:adjustRightInd w:val="0"/>
              <w:snapToGrid w:val="0"/>
              <w:spacing w:line="360" w:lineRule="auto"/>
              <w:ind w:firstLine="482" w:firstLineChars="200"/>
              <w:rPr>
                <w:color w:val="auto"/>
                <w:sz w:val="24"/>
                <w:lang w:bidi="zh-CN"/>
              </w:rPr>
            </w:pPr>
            <w:r>
              <w:rPr>
                <w:rFonts w:hint="eastAsia" w:ascii="宋体" w:hAnsi="宋体" w:cs="宋体"/>
                <w:b/>
                <w:bCs/>
                <w:snapToGrid w:val="0"/>
                <w:color w:val="auto"/>
                <w:kern w:val="0"/>
                <w:sz w:val="24"/>
              </w:rPr>
              <w:t>①风险物质识别</w:t>
            </w:r>
          </w:p>
          <w:p>
            <w:pPr>
              <w:spacing w:line="360" w:lineRule="auto"/>
              <w:ind w:firstLine="480" w:firstLineChars="200"/>
              <w:rPr>
                <w:color w:val="auto"/>
                <w:sz w:val="24"/>
                <w:lang w:bidi="zh-CN"/>
              </w:rPr>
            </w:pPr>
            <w:r>
              <w:rPr>
                <w:color w:val="auto"/>
                <w:sz w:val="24"/>
                <w:lang w:bidi="zh-CN"/>
              </w:rPr>
              <w:t>根据《建设项目环境风险评价技术导则》（HJ/T169-2018）可知，环境风险评价的目的是分析和预测建设项目存在的潜在危险、有害因素，建设项目的建设和运行期间可能发生的突发性事件或事故（一般不包括人为破坏及自然灾害），引起有毒有害和易燃易爆等物质泄露，所造成的人身安全与环境影响和损害程度，提出合理可行的防范、应急与减缓措施，以使建设项目事故率、损失和环境影响达到可接收的水平。</w:t>
            </w:r>
          </w:p>
          <w:p>
            <w:pPr>
              <w:pStyle w:val="67"/>
              <w:spacing w:line="360" w:lineRule="auto"/>
              <w:ind w:firstLine="480" w:firstLineChars="200"/>
              <w:rPr>
                <w:rFonts w:ascii="Times New Roman" w:cs="Times New Roman"/>
                <w:snapToGrid w:val="0"/>
                <w:color w:val="auto"/>
              </w:rPr>
            </w:pPr>
            <w:r>
              <w:rPr>
                <w:rFonts w:ascii="Times New Roman" w:cs="Times New Roman"/>
                <w:snapToGrid w:val="0"/>
                <w:color w:val="auto"/>
              </w:rPr>
              <w:t>本项目主要从事</w:t>
            </w:r>
            <w:r>
              <w:rPr>
                <w:rFonts w:hint="eastAsia" w:ascii="Times New Roman" w:cs="Times New Roman"/>
                <w:snapToGrid w:val="0"/>
                <w:color w:val="auto"/>
              </w:rPr>
              <w:t>商品混凝</w:t>
            </w:r>
            <w:r>
              <w:rPr>
                <w:rFonts w:ascii="Times New Roman" w:cs="Times New Roman"/>
                <w:snapToGrid w:val="0"/>
                <w:color w:val="auto"/>
              </w:rPr>
              <w:t>土</w:t>
            </w:r>
            <w:r>
              <w:rPr>
                <w:rFonts w:hint="eastAsia" w:ascii="Times New Roman" w:cs="Times New Roman"/>
                <w:snapToGrid w:val="0"/>
                <w:color w:val="auto"/>
              </w:rPr>
              <w:t>及</w:t>
            </w:r>
            <w:r>
              <w:rPr>
                <w:rFonts w:ascii="Times New Roman" w:cs="Times New Roman"/>
                <w:snapToGrid w:val="0"/>
                <w:color w:val="auto"/>
              </w:rPr>
              <w:t>机制砂生产，根据《危险化学品重大危险源辨识》（GB18218-2018）中所列的危险化学品，本项目</w:t>
            </w:r>
            <w:r>
              <w:rPr>
                <w:rFonts w:hint="eastAsia" w:ascii="Times New Roman" w:cs="Times New Roman"/>
                <w:snapToGrid w:val="0"/>
                <w:color w:val="auto"/>
              </w:rPr>
              <w:t>生产过程中所使用的原辅材料及不属于危险化学品，因此，本项目的生产不属于重大危险源。</w:t>
            </w:r>
          </w:p>
          <w:p>
            <w:pPr>
              <w:adjustRightInd w:val="0"/>
              <w:snapToGrid w:val="0"/>
              <w:spacing w:line="360" w:lineRule="auto"/>
              <w:ind w:firstLine="482" w:firstLineChars="200"/>
              <w:rPr>
                <w:b/>
                <w:bCs/>
                <w:color w:val="auto"/>
                <w:sz w:val="24"/>
              </w:rPr>
            </w:pPr>
            <w:r>
              <w:rPr>
                <w:b/>
                <w:bCs/>
                <w:color w:val="auto"/>
                <w:sz w:val="24"/>
              </w:rPr>
              <w:fldChar w:fldCharType="begin"/>
            </w:r>
            <w:r>
              <w:rPr>
                <w:rFonts w:hint="eastAsia"/>
                <w:b/>
                <w:bCs/>
                <w:color w:val="auto"/>
                <w:sz w:val="24"/>
              </w:rPr>
              <w:instrText xml:space="preserve">= 2 \* GB3</w:instrText>
            </w:r>
            <w:r>
              <w:rPr>
                <w:b/>
                <w:bCs/>
                <w:color w:val="auto"/>
                <w:sz w:val="24"/>
              </w:rPr>
              <w:fldChar w:fldCharType="separate"/>
            </w:r>
            <w:r>
              <w:rPr>
                <w:rFonts w:hint="eastAsia"/>
                <w:b/>
                <w:bCs/>
                <w:color w:val="auto"/>
                <w:sz w:val="24"/>
              </w:rPr>
              <w:t>②</w:t>
            </w:r>
            <w:r>
              <w:rPr>
                <w:b/>
                <w:bCs/>
                <w:color w:val="auto"/>
                <w:sz w:val="24"/>
              </w:rPr>
              <w:fldChar w:fldCharType="end"/>
            </w:r>
            <w:r>
              <w:rPr>
                <w:rFonts w:hint="eastAsia"/>
                <w:b/>
                <w:bCs/>
                <w:color w:val="auto"/>
                <w:sz w:val="24"/>
              </w:rPr>
              <w:t>　废水处理设施故障</w:t>
            </w:r>
            <w:r>
              <w:rPr>
                <w:b/>
                <w:bCs/>
                <w:color w:val="auto"/>
                <w:sz w:val="24"/>
              </w:rPr>
              <w:t>发生时可能产生的环境风险分析</w:t>
            </w:r>
          </w:p>
          <w:p>
            <w:pPr>
              <w:adjustRightInd w:val="0"/>
              <w:snapToGrid w:val="0"/>
              <w:spacing w:line="360" w:lineRule="auto"/>
              <w:ind w:firstLine="480" w:firstLineChars="200"/>
              <w:rPr>
                <w:snapToGrid w:val="0"/>
                <w:color w:val="auto"/>
                <w:kern w:val="0"/>
                <w:sz w:val="24"/>
              </w:rPr>
            </w:pPr>
            <w:r>
              <w:rPr>
                <w:rFonts w:hint="eastAsia"/>
                <w:snapToGrid w:val="0"/>
                <w:color w:val="auto"/>
                <w:kern w:val="0"/>
                <w:sz w:val="24"/>
              </w:rPr>
              <w:t>本项目的废水处理设施——四级沉淀处理系统、生活污水处理设施，在暴雨时发生溢出事故，废水溢出，污染当地地表水环境；遇到暴雨情况时，大量雨水冲击地面会产生水泥和细砂废水，外排会污染地表水环境；废水处理设施故障，导致污染物排放浓度和排放量增加，在短时间内造成水环境污染。</w:t>
            </w:r>
          </w:p>
          <w:p>
            <w:pPr>
              <w:pStyle w:val="228"/>
              <w:numPr>
                <w:ilvl w:val="0"/>
                <w:numId w:val="12"/>
              </w:numPr>
              <w:adjustRightInd w:val="0"/>
              <w:snapToGrid w:val="0"/>
              <w:spacing w:line="360" w:lineRule="auto"/>
              <w:ind w:firstLineChars="0"/>
              <w:rPr>
                <w:b/>
                <w:bCs/>
                <w:color w:val="auto"/>
                <w:sz w:val="24"/>
              </w:rPr>
            </w:pPr>
            <w:r>
              <w:rPr>
                <w:rFonts w:hint="eastAsia"/>
                <w:b/>
                <w:bCs/>
                <w:color w:val="auto"/>
                <w:sz w:val="24"/>
              </w:rPr>
              <w:t>废气处理设施发生故障可能产生的环境风险分析</w:t>
            </w:r>
          </w:p>
          <w:p>
            <w:pPr>
              <w:pStyle w:val="67"/>
              <w:spacing w:line="360" w:lineRule="auto"/>
              <w:ind w:firstLine="480" w:firstLineChars="200"/>
              <w:rPr>
                <w:color w:val="auto"/>
              </w:rPr>
            </w:pPr>
            <w:r>
              <w:rPr>
                <w:rFonts w:hint="eastAsia"/>
                <w:color w:val="auto"/>
              </w:rPr>
              <w:t>项目生产废气采用脉冲式布袋降尘器收集，当废气处理设施出现故障时，将造成工业粉尘大量排放，污染环境。当除尘器因故障(或工人未开启除尘器清灰功能，造成滤芯堵塞，空气无法释放)内部灰尘堵塞，仓内压力过大时，将产生爆炸。</w:t>
            </w:r>
          </w:p>
          <w:p>
            <w:pPr>
              <w:pStyle w:val="228"/>
              <w:numPr>
                <w:ilvl w:val="0"/>
                <w:numId w:val="12"/>
              </w:numPr>
              <w:adjustRightInd w:val="0"/>
              <w:snapToGrid w:val="0"/>
              <w:spacing w:line="360" w:lineRule="auto"/>
              <w:ind w:firstLineChars="0"/>
              <w:rPr>
                <w:b/>
                <w:bCs/>
                <w:color w:val="auto"/>
                <w:sz w:val="24"/>
              </w:rPr>
            </w:pPr>
            <w:r>
              <w:rPr>
                <w:rFonts w:hint="eastAsia" w:ascii="宋体" w:hAnsi="宋体" w:cs="宋体"/>
                <w:b/>
                <w:snapToGrid w:val="0"/>
                <w:color w:val="auto"/>
                <w:kern w:val="0"/>
                <w:sz w:val="24"/>
              </w:rPr>
              <w:t>环境应急措施</w:t>
            </w:r>
          </w:p>
          <w:p>
            <w:pPr>
              <w:adjustRightInd w:val="0"/>
              <w:snapToGrid w:val="0"/>
              <w:spacing w:line="360" w:lineRule="auto"/>
              <w:ind w:firstLine="480" w:firstLineChars="200"/>
              <w:rPr>
                <w:rFonts w:ascii="宋体" w:hAnsi="宋体" w:cs="宋体"/>
                <w:snapToGrid w:val="0"/>
                <w:color w:val="auto"/>
                <w:kern w:val="0"/>
                <w:sz w:val="24"/>
              </w:rPr>
            </w:pPr>
            <w:r>
              <w:rPr>
                <w:rFonts w:hint="eastAsia" w:ascii="宋体" w:hAnsi="宋体" w:cs="宋体"/>
                <w:snapToGrid w:val="0"/>
                <w:color w:val="auto"/>
                <w:kern w:val="0"/>
                <w:sz w:val="24"/>
              </w:rPr>
              <w:t>为有效防范废水、废气事故排放造成对周边环境的影响，项目建设须硬化场地，实施雨污分流，在生产区周围修建导流渠，修建足够容量的清洗废水沉淀池，当发生废水泄漏风险事故或暴雨冲刷时，可及时进行收集，确保足够容积，避免漫流至周边环境，污染外环境。建议项目设置一个约</w:t>
            </w:r>
            <w:r>
              <w:rPr>
                <w:rFonts w:ascii="宋体" w:hAnsi="宋体" w:cs="宋体"/>
                <w:snapToGrid w:val="0"/>
                <w:color w:val="auto"/>
                <w:kern w:val="0"/>
                <w:sz w:val="24"/>
              </w:rPr>
              <w:t>2</w:t>
            </w:r>
            <w:r>
              <w:rPr>
                <w:rFonts w:hint="eastAsia" w:ascii="宋体" w:hAnsi="宋体" w:cs="宋体"/>
                <w:snapToGrid w:val="0"/>
                <w:color w:val="auto"/>
                <w:kern w:val="0"/>
                <w:sz w:val="24"/>
              </w:rPr>
              <w:t>0m</w:t>
            </w:r>
            <w:r>
              <w:rPr>
                <w:rFonts w:hint="eastAsia" w:ascii="宋体" w:hAnsi="宋体" w:cs="宋体"/>
                <w:snapToGrid w:val="0"/>
                <w:color w:val="auto"/>
                <w:kern w:val="0"/>
                <w:sz w:val="24"/>
                <w:vertAlign w:val="superscript"/>
              </w:rPr>
              <w:t>3</w:t>
            </w:r>
            <w:r>
              <w:rPr>
                <w:rFonts w:hint="eastAsia" w:ascii="宋体" w:hAnsi="宋体" w:cs="宋体"/>
                <w:snapToGrid w:val="0"/>
                <w:color w:val="auto"/>
                <w:kern w:val="0"/>
                <w:sz w:val="24"/>
              </w:rPr>
              <w:t>的应急池，项目冲洗废水日产生量约为</w:t>
            </w:r>
            <w:r>
              <w:rPr>
                <w:rFonts w:ascii="宋体" w:hAnsi="宋体" w:cs="宋体"/>
                <w:snapToGrid w:val="0"/>
                <w:color w:val="auto"/>
                <w:kern w:val="0"/>
                <w:sz w:val="24"/>
              </w:rPr>
              <w:t>15.81</w:t>
            </w:r>
            <w:r>
              <w:rPr>
                <w:rFonts w:hint="eastAsia" w:ascii="宋体" w:hAnsi="宋体" w:cs="宋体"/>
                <w:snapToGrid w:val="0"/>
                <w:color w:val="auto"/>
                <w:kern w:val="0"/>
                <w:sz w:val="24"/>
              </w:rPr>
              <w:t>m</w:t>
            </w:r>
            <w:r>
              <w:rPr>
                <w:rFonts w:hint="eastAsia" w:ascii="宋体" w:hAnsi="宋体" w:cs="宋体"/>
                <w:snapToGrid w:val="0"/>
                <w:color w:val="auto"/>
                <w:kern w:val="0"/>
                <w:sz w:val="24"/>
                <w:vertAlign w:val="superscript"/>
              </w:rPr>
              <w:t>3</w:t>
            </w:r>
            <w:r>
              <w:rPr>
                <w:rFonts w:hint="eastAsia" w:ascii="宋体" w:hAnsi="宋体" w:cs="宋体"/>
                <w:snapToGrid w:val="0"/>
                <w:color w:val="auto"/>
                <w:kern w:val="0"/>
                <w:sz w:val="24"/>
              </w:rPr>
              <w:t>/d，因此应急池足够容量收纳事故废水。项目应加强对废气处理设施的时常检查和维护，以便及时发现故障并进行维修，当短时间内维修不能完成，则应停止生产直至维修完好后才能重新生产。</w:t>
            </w:r>
          </w:p>
          <w:p>
            <w:pPr>
              <w:pStyle w:val="67"/>
              <w:spacing w:line="360" w:lineRule="auto"/>
              <w:ind w:left="420" w:leftChars="200"/>
              <w:rPr>
                <w:rFonts w:hAnsi="宋体"/>
                <w:b/>
                <w:bCs/>
                <w:snapToGrid w:val="0"/>
                <w:color w:val="auto"/>
              </w:rPr>
            </w:pPr>
            <w:r>
              <w:rPr>
                <w:rFonts w:hint="eastAsia" w:hAnsi="宋体"/>
                <w:b/>
                <w:bCs/>
                <w:snapToGrid w:val="0"/>
                <w:color w:val="auto"/>
              </w:rPr>
              <w:t>（4）分析结论</w:t>
            </w:r>
          </w:p>
          <w:p>
            <w:pPr>
              <w:spacing w:line="360" w:lineRule="auto"/>
              <w:ind w:firstLine="480" w:firstLineChars="200"/>
              <w:rPr>
                <w:color w:val="auto"/>
                <w:sz w:val="24"/>
                <w:lang w:bidi="zh-CN"/>
              </w:rPr>
            </w:pPr>
            <w:r>
              <w:rPr>
                <w:rFonts w:hint="eastAsia" w:cs="宋体"/>
                <w:color w:val="auto"/>
                <w:sz w:val="24"/>
                <w:lang w:bidi="zh-CN"/>
              </w:rPr>
              <w:t>综上所述，项目应严格落实上述措施，做好废水</w:t>
            </w:r>
            <w:r>
              <w:rPr>
                <w:rFonts w:cs="宋体"/>
                <w:color w:val="auto"/>
                <w:sz w:val="24"/>
                <w:lang w:bidi="zh-CN"/>
              </w:rPr>
              <w:t>、废气</w:t>
            </w:r>
            <w:r>
              <w:rPr>
                <w:rFonts w:hint="eastAsia" w:cs="宋体"/>
                <w:color w:val="auto"/>
                <w:sz w:val="24"/>
                <w:lang w:bidi="zh-CN"/>
              </w:rPr>
              <w:t>处理设施的管理及风险防范措施。可以把环境风险控制在最低范围，环境风险程度可以接受。</w:t>
            </w:r>
          </w:p>
          <w:p>
            <w:pPr>
              <w:ind w:firstLine="482" w:firstLineChars="200"/>
              <w:jc w:val="center"/>
              <w:rPr>
                <w:b/>
                <w:bCs/>
                <w:color w:val="auto"/>
                <w:sz w:val="24"/>
                <w:lang w:bidi="zh-CN"/>
              </w:rPr>
            </w:pPr>
            <w:r>
              <w:rPr>
                <w:rFonts w:hint="eastAsia" w:cs="宋体"/>
                <w:b/>
                <w:bCs/>
                <w:color w:val="auto"/>
                <w:sz w:val="24"/>
                <w:lang w:bidi="zh-CN"/>
              </w:rPr>
              <w:t>表</w:t>
            </w:r>
            <w:r>
              <w:rPr>
                <w:b/>
                <w:bCs/>
                <w:color w:val="auto"/>
                <w:sz w:val="24"/>
                <w:lang w:bidi="zh-CN"/>
              </w:rPr>
              <w:t>7-13</w:t>
            </w:r>
            <w:r>
              <w:rPr>
                <w:rFonts w:hint="eastAsia" w:cs="宋体"/>
                <w:b/>
                <w:bCs/>
                <w:color w:val="auto"/>
                <w:sz w:val="24"/>
                <w:lang w:bidi="zh-CN"/>
              </w:rPr>
              <w:t>建设项目环境风险简单分析内容表</w:t>
            </w:r>
          </w:p>
          <w:tbl>
            <w:tblPr>
              <w:tblStyle w:val="29"/>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2089"/>
              <w:gridCol w:w="793"/>
              <w:gridCol w:w="1686"/>
              <w:gridCol w:w="1350"/>
              <w:gridCol w:w="1023"/>
              <w:gridCol w:w="2181"/>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建设项目名称</w:t>
                  </w:r>
                </w:p>
              </w:tc>
              <w:tc>
                <w:tcPr>
                  <w:tcW w:w="7033" w:type="dxa"/>
                  <w:gridSpan w:val="5"/>
                  <w:vAlign w:val="center"/>
                </w:tcPr>
                <w:p>
                  <w:pPr>
                    <w:jc w:val="center"/>
                    <w:rPr>
                      <w:color w:val="auto"/>
                      <w:szCs w:val="21"/>
                      <w:lang w:bidi="zh-CN"/>
                    </w:rPr>
                  </w:pPr>
                  <w:r>
                    <w:rPr>
                      <w:rFonts w:hint="eastAsia"/>
                      <w:color w:val="auto"/>
                    </w:rPr>
                    <w:t>商品混凝土建设项目</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建设地点</w:t>
                  </w:r>
                </w:p>
              </w:tc>
              <w:tc>
                <w:tcPr>
                  <w:tcW w:w="793" w:type="dxa"/>
                  <w:vAlign w:val="center"/>
                </w:tcPr>
                <w:p>
                  <w:pPr>
                    <w:jc w:val="center"/>
                    <w:rPr>
                      <w:color w:val="auto"/>
                      <w:szCs w:val="21"/>
                      <w:lang w:bidi="zh-CN"/>
                    </w:rPr>
                  </w:pPr>
                  <w:r>
                    <w:rPr>
                      <w:rFonts w:hint="eastAsia" w:cs="宋体"/>
                      <w:color w:val="auto"/>
                      <w:szCs w:val="21"/>
                      <w:lang w:bidi="zh-CN"/>
                    </w:rPr>
                    <w:t>广东省</w:t>
                  </w:r>
                </w:p>
              </w:tc>
              <w:tc>
                <w:tcPr>
                  <w:tcW w:w="1686" w:type="dxa"/>
                  <w:vAlign w:val="center"/>
                </w:tcPr>
                <w:p>
                  <w:pPr>
                    <w:jc w:val="center"/>
                    <w:rPr>
                      <w:color w:val="auto"/>
                      <w:szCs w:val="21"/>
                      <w:lang w:bidi="zh-CN"/>
                    </w:rPr>
                  </w:pPr>
                  <w:r>
                    <w:rPr>
                      <w:rFonts w:hint="eastAsia" w:ascii="宋体" w:hAnsi="宋体" w:cs="宋体"/>
                      <w:color w:val="auto"/>
                      <w:szCs w:val="21"/>
                    </w:rPr>
                    <w:t>揭阳市</w:t>
                  </w:r>
                </w:p>
              </w:tc>
              <w:tc>
                <w:tcPr>
                  <w:tcW w:w="1350" w:type="dxa"/>
                  <w:vAlign w:val="center"/>
                </w:tcPr>
                <w:p>
                  <w:pPr>
                    <w:jc w:val="center"/>
                    <w:rPr>
                      <w:color w:val="auto"/>
                      <w:szCs w:val="21"/>
                      <w:lang w:bidi="zh-CN"/>
                    </w:rPr>
                  </w:pPr>
                  <w:r>
                    <w:rPr>
                      <w:rFonts w:hint="eastAsia"/>
                      <w:color w:val="auto"/>
                      <w:szCs w:val="21"/>
                      <w:lang w:bidi="zh-CN"/>
                    </w:rPr>
                    <w:t>普宁市</w:t>
                  </w:r>
                </w:p>
              </w:tc>
              <w:tc>
                <w:tcPr>
                  <w:tcW w:w="1023" w:type="dxa"/>
                  <w:vAlign w:val="center"/>
                </w:tcPr>
                <w:p>
                  <w:pPr>
                    <w:jc w:val="center"/>
                    <w:rPr>
                      <w:color w:val="auto"/>
                      <w:szCs w:val="21"/>
                      <w:lang w:bidi="zh-CN"/>
                    </w:rPr>
                  </w:pPr>
                  <w:r>
                    <w:rPr>
                      <w:rFonts w:hint="eastAsia" w:ascii="Arial" w:hAnsi="Arial"/>
                      <w:color w:val="auto"/>
                      <w:sz w:val="24"/>
                    </w:rPr>
                    <w:t>军埠镇</w:t>
                  </w:r>
                </w:p>
              </w:tc>
              <w:tc>
                <w:tcPr>
                  <w:tcW w:w="2181" w:type="dxa"/>
                  <w:vAlign w:val="center"/>
                </w:tcPr>
                <w:p>
                  <w:pPr>
                    <w:jc w:val="center"/>
                    <w:rPr>
                      <w:color w:val="auto"/>
                      <w:szCs w:val="21"/>
                      <w:lang w:bidi="zh-CN"/>
                    </w:rPr>
                  </w:pPr>
                  <w:r>
                    <w:rPr>
                      <w:rFonts w:hint="eastAsia" w:ascii="Arial" w:hAnsi="Arial"/>
                      <w:color w:val="auto"/>
                      <w:sz w:val="24"/>
                    </w:rPr>
                    <w:t>大长陇工业区</w:t>
                  </w:r>
                  <w:r>
                    <w:rPr>
                      <w:rFonts w:hint="eastAsia"/>
                      <w:color w:val="auto"/>
                      <w:sz w:val="24"/>
                    </w:rPr>
                    <w:t>荣祥</w:t>
                  </w:r>
                  <w:r>
                    <w:rPr>
                      <w:color w:val="auto"/>
                      <w:sz w:val="24"/>
                    </w:rPr>
                    <w:t>楼</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地理坐标</w:t>
                  </w:r>
                </w:p>
              </w:tc>
              <w:tc>
                <w:tcPr>
                  <w:tcW w:w="793" w:type="dxa"/>
                  <w:vAlign w:val="center"/>
                </w:tcPr>
                <w:p>
                  <w:pPr>
                    <w:jc w:val="center"/>
                    <w:rPr>
                      <w:color w:val="auto"/>
                      <w:szCs w:val="21"/>
                      <w:lang w:bidi="zh-CN"/>
                    </w:rPr>
                  </w:pPr>
                  <w:r>
                    <w:rPr>
                      <w:rFonts w:hint="eastAsia" w:cs="宋体"/>
                      <w:color w:val="auto"/>
                      <w:szCs w:val="21"/>
                      <w:lang w:bidi="zh-CN"/>
                    </w:rPr>
                    <w:t>经度</w:t>
                  </w:r>
                </w:p>
              </w:tc>
              <w:tc>
                <w:tcPr>
                  <w:tcW w:w="1686" w:type="dxa"/>
                  <w:vAlign w:val="center"/>
                </w:tcPr>
                <w:p>
                  <w:pPr>
                    <w:jc w:val="center"/>
                    <w:rPr>
                      <w:color w:val="auto"/>
                      <w:szCs w:val="21"/>
                      <w:lang w:bidi="zh-CN"/>
                    </w:rPr>
                  </w:pPr>
                  <w:r>
                    <w:rPr>
                      <w:color w:val="auto"/>
                      <w:sz w:val="24"/>
                    </w:rPr>
                    <w:t>E116.281566°</w:t>
                  </w:r>
                </w:p>
              </w:tc>
              <w:tc>
                <w:tcPr>
                  <w:tcW w:w="1350" w:type="dxa"/>
                  <w:vAlign w:val="center"/>
                </w:tcPr>
                <w:p>
                  <w:pPr>
                    <w:jc w:val="center"/>
                    <w:rPr>
                      <w:color w:val="auto"/>
                      <w:szCs w:val="21"/>
                      <w:lang w:bidi="zh-CN"/>
                    </w:rPr>
                  </w:pPr>
                  <w:r>
                    <w:rPr>
                      <w:rFonts w:hint="eastAsia" w:cs="宋体"/>
                      <w:color w:val="auto"/>
                      <w:szCs w:val="21"/>
                      <w:lang w:bidi="zh-CN"/>
                    </w:rPr>
                    <w:t>纬度</w:t>
                  </w:r>
                </w:p>
              </w:tc>
              <w:tc>
                <w:tcPr>
                  <w:tcW w:w="3204" w:type="dxa"/>
                  <w:gridSpan w:val="2"/>
                  <w:vAlign w:val="center"/>
                </w:tcPr>
                <w:p>
                  <w:pPr>
                    <w:jc w:val="center"/>
                    <w:rPr>
                      <w:color w:val="auto"/>
                      <w:szCs w:val="21"/>
                      <w:lang w:bidi="zh-CN"/>
                    </w:rPr>
                  </w:pPr>
                  <w:r>
                    <w:rPr>
                      <w:color w:val="auto"/>
                      <w:sz w:val="24"/>
                    </w:rPr>
                    <w:t>N23.249935°</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主要危险物质及分布</w:t>
                  </w:r>
                </w:p>
              </w:tc>
              <w:tc>
                <w:tcPr>
                  <w:tcW w:w="7033" w:type="dxa"/>
                  <w:gridSpan w:val="5"/>
                  <w:vAlign w:val="center"/>
                </w:tcPr>
                <w:p>
                  <w:pPr>
                    <w:jc w:val="center"/>
                    <w:rPr>
                      <w:color w:val="auto"/>
                      <w:szCs w:val="21"/>
                      <w:lang w:bidi="zh-CN"/>
                    </w:rPr>
                  </w:pPr>
                  <w:r>
                    <w:rPr>
                      <w:rFonts w:hint="eastAsia" w:cs="宋体"/>
                      <w:color w:val="auto"/>
                      <w:szCs w:val="21"/>
                      <w:lang w:bidi="zh-CN"/>
                    </w:rPr>
                    <w:t>无</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环境影响途径及危害结果（大气、地表水、地下水）</w:t>
                  </w:r>
                </w:p>
              </w:tc>
              <w:tc>
                <w:tcPr>
                  <w:tcW w:w="7033" w:type="dxa"/>
                  <w:gridSpan w:val="5"/>
                  <w:vAlign w:val="center"/>
                </w:tcPr>
                <w:p>
                  <w:pPr>
                    <w:jc w:val="center"/>
                    <w:rPr>
                      <w:color w:val="auto"/>
                      <w:szCs w:val="21"/>
                      <w:lang w:bidi="zh-CN"/>
                    </w:rPr>
                  </w:pPr>
                  <w:r>
                    <w:rPr>
                      <w:rFonts w:hint="eastAsia" w:cs="宋体"/>
                      <w:color w:val="auto"/>
                      <w:szCs w:val="21"/>
                      <w:lang w:bidi="zh-CN"/>
                    </w:rPr>
                    <w:t>污水处理设施出现故障时</w:t>
                  </w:r>
                  <w:r>
                    <w:rPr>
                      <w:rFonts w:cs="宋体"/>
                      <w:color w:val="auto"/>
                      <w:szCs w:val="21"/>
                      <w:lang w:bidi="zh-CN"/>
                    </w:rPr>
                    <w:t>，</w:t>
                  </w:r>
                  <w:r>
                    <w:rPr>
                      <w:rFonts w:hint="eastAsia" w:cs="宋体"/>
                      <w:color w:val="auto"/>
                      <w:szCs w:val="21"/>
                      <w:lang w:bidi="zh-CN"/>
                    </w:rPr>
                    <w:t>导致污染物排放浓度和排放量增加，在短时间内造成水环境污染；废气处理设施出现故障时，将造成工业粉尘大量排放，污染环境。当除尘器因故障内部灰尘堵塞，仓内压力过大时，将产生爆炸。</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2089" w:type="dxa"/>
                  <w:vAlign w:val="center"/>
                </w:tcPr>
                <w:p>
                  <w:pPr>
                    <w:jc w:val="center"/>
                    <w:rPr>
                      <w:color w:val="auto"/>
                      <w:szCs w:val="21"/>
                      <w:lang w:bidi="zh-CN"/>
                    </w:rPr>
                  </w:pPr>
                  <w:r>
                    <w:rPr>
                      <w:rFonts w:hint="eastAsia" w:cs="宋体"/>
                      <w:color w:val="auto"/>
                      <w:szCs w:val="21"/>
                      <w:lang w:bidi="zh-CN"/>
                    </w:rPr>
                    <w:t>风险防范措施要求</w:t>
                  </w:r>
                </w:p>
              </w:tc>
              <w:tc>
                <w:tcPr>
                  <w:tcW w:w="7033" w:type="dxa"/>
                  <w:gridSpan w:val="5"/>
                  <w:vAlign w:val="center"/>
                </w:tcPr>
                <w:p>
                  <w:pPr>
                    <w:jc w:val="center"/>
                    <w:rPr>
                      <w:color w:val="auto"/>
                      <w:szCs w:val="21"/>
                      <w:lang w:bidi="zh-CN"/>
                    </w:rPr>
                  </w:pPr>
                  <w:r>
                    <w:rPr>
                      <w:rFonts w:hint="eastAsia"/>
                      <w:color w:val="auto"/>
                      <w:szCs w:val="21"/>
                      <w:lang w:bidi="zh-CN"/>
                    </w:rPr>
                    <w:t>修建足够容量的应急池，当发生废水泄漏风险事故或暴雨冲刷时，可及时进行收集，确保足够容积，避免漫流至周边环境。当废</w:t>
                  </w:r>
                  <w:r>
                    <w:rPr>
                      <w:color w:val="auto"/>
                      <w:szCs w:val="21"/>
                      <w:lang w:bidi="zh-CN"/>
                    </w:rPr>
                    <w:t>气处理设施出现故障且</w:t>
                  </w:r>
                  <w:r>
                    <w:rPr>
                      <w:rFonts w:hint="eastAsia"/>
                      <w:color w:val="auto"/>
                      <w:szCs w:val="21"/>
                      <w:lang w:bidi="zh-CN"/>
                    </w:rPr>
                    <w:t>短时间内维修不能完成，则应停止生产直至维修完好后才能重新生产。</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40" w:hRule="atLeast"/>
                <w:jc w:val="center"/>
              </w:trPr>
              <w:tc>
                <w:tcPr>
                  <w:tcW w:w="9122" w:type="dxa"/>
                  <w:gridSpan w:val="6"/>
                  <w:vAlign w:val="center"/>
                </w:tcPr>
                <w:p>
                  <w:pPr>
                    <w:jc w:val="center"/>
                    <w:rPr>
                      <w:color w:val="auto"/>
                      <w:szCs w:val="21"/>
                      <w:lang w:bidi="zh-CN"/>
                    </w:rPr>
                  </w:pPr>
                  <w:r>
                    <w:rPr>
                      <w:rFonts w:hint="eastAsia" w:cs="宋体"/>
                      <w:color w:val="auto"/>
                      <w:szCs w:val="21"/>
                      <w:lang w:bidi="zh-CN"/>
                    </w:rPr>
                    <w:t>填表说明（列出项目相关信息及评价说明）：本项目制定了一系列做好废水、废气处理设施的管理及风险防范措施。在采取有效的风险防范措施后，项目环境风险水平可以接受。</w:t>
                  </w:r>
                </w:p>
              </w:tc>
            </w:tr>
          </w:tbl>
          <w:p>
            <w:pPr>
              <w:adjustRightInd w:val="0"/>
              <w:snapToGrid w:val="0"/>
              <w:spacing w:before="156" w:beforeLines="50" w:line="360" w:lineRule="auto"/>
              <w:ind w:firstLine="482" w:firstLineChars="200"/>
              <w:rPr>
                <w:b/>
                <w:color w:val="auto"/>
                <w:sz w:val="24"/>
              </w:rPr>
            </w:pPr>
            <w:r>
              <w:rPr>
                <w:rFonts w:hint="eastAsia"/>
                <w:b/>
                <w:color w:val="auto"/>
                <w:sz w:val="24"/>
              </w:rPr>
              <w:t>7、</w:t>
            </w:r>
            <w:r>
              <w:rPr>
                <w:b/>
                <w:color w:val="auto"/>
                <w:sz w:val="24"/>
              </w:rPr>
              <w:t>环境管理和环境监测计划</w:t>
            </w:r>
          </w:p>
          <w:p>
            <w:pPr>
              <w:spacing w:line="360" w:lineRule="auto"/>
              <w:ind w:firstLine="482" w:firstLineChars="200"/>
              <w:rPr>
                <w:b/>
                <w:bCs/>
                <w:color w:val="auto"/>
                <w:sz w:val="24"/>
              </w:rPr>
            </w:pPr>
            <w:r>
              <w:rPr>
                <w:b/>
                <w:bCs/>
                <w:color w:val="auto"/>
                <w:sz w:val="24"/>
              </w:rPr>
              <w:t>1</w:t>
            </w:r>
            <w:r>
              <w:rPr>
                <w:rFonts w:hint="eastAsia"/>
                <w:b/>
                <w:bCs/>
                <w:color w:val="auto"/>
                <w:sz w:val="24"/>
              </w:rPr>
              <w:t>）</w:t>
            </w:r>
            <w:r>
              <w:rPr>
                <w:b/>
                <w:bCs/>
                <w:color w:val="auto"/>
                <w:sz w:val="24"/>
              </w:rPr>
              <w:t>环境管理</w:t>
            </w:r>
          </w:p>
          <w:p>
            <w:pPr>
              <w:spacing w:line="360" w:lineRule="auto"/>
              <w:ind w:firstLine="480" w:firstLineChars="200"/>
              <w:rPr>
                <w:bCs/>
                <w:color w:val="auto"/>
                <w:sz w:val="24"/>
              </w:rPr>
            </w:pPr>
            <w:r>
              <w:rPr>
                <w:bCs/>
                <w:color w:val="auto"/>
                <w:sz w:val="24"/>
              </w:rPr>
              <w:t>环境管理工作就是要保证决策中的方针和目标在预期内实现，并协调解决实现目标过程中的具体问题。为了正确处理发展生产与保护环境的关系，全面贯彻国家的环保法规法与政策，应根据当地环保部门对本区域环境质量的要求，通过控制污染物排放的科学管理，促进企业原材料及能源的合理消耗，降低成本，最大限度地减少污染物的排放，提高企业的社会、经济、环境效益。在环境保护工作中，管理和治理是相辅相承的。为此，企业必须建立环境保护机构，制订全面的、长期的环境管理计划，大量的经验证明，即使有先进的设备和较好的污染治理设施，如果管理不善亦不能发挥应有的作用和效益，因此要把环境管理纳入企业管理的重要内容。</w:t>
            </w:r>
          </w:p>
          <w:p>
            <w:pPr>
              <w:spacing w:line="360" w:lineRule="auto"/>
              <w:ind w:firstLine="480" w:firstLineChars="200"/>
              <w:rPr>
                <w:bCs/>
                <w:color w:val="auto"/>
                <w:sz w:val="24"/>
              </w:rPr>
            </w:pPr>
            <w:r>
              <w:rPr>
                <w:bCs/>
                <w:color w:val="auto"/>
                <w:sz w:val="24"/>
              </w:rPr>
              <w:t>如何正确处理环境管理中各种矛盾关系问题，首先应把国家制定的有关环境保护方针、政策、法律、法规和标准作为必须遵循的规范，再针对不同性质的矛盾采用不同的方法去解决，在指导思想上要确立正确的处理原则。这些原则是：坚持可持续发展的原则；坚持“开发促保护，保护为开发”的原则；坚持经济、社会、环境“三个效益”统一的原则；坚持局部服从全局的原则；坚持法制的原则。</w:t>
            </w:r>
          </w:p>
          <w:p>
            <w:pPr>
              <w:spacing w:line="360" w:lineRule="auto"/>
              <w:ind w:firstLine="480" w:firstLineChars="200"/>
              <w:rPr>
                <w:bCs/>
                <w:color w:val="auto"/>
                <w:sz w:val="24"/>
              </w:rPr>
            </w:pPr>
            <w:r>
              <w:rPr>
                <w:bCs/>
                <w:color w:val="auto"/>
                <w:sz w:val="24"/>
              </w:rPr>
              <w:t>在施工建设阶段、营运阶段，应按照国家有关环保法律、法规、论证工程的污染状况，设计完善的污染物处理措施，达到国家规定的环保标准。</w:t>
            </w:r>
          </w:p>
          <w:p>
            <w:pPr>
              <w:spacing w:line="360" w:lineRule="auto"/>
              <w:ind w:firstLine="480" w:firstLineChars="200"/>
              <w:rPr>
                <w:bCs/>
                <w:color w:val="auto"/>
                <w:sz w:val="24"/>
              </w:rPr>
            </w:pPr>
            <w:r>
              <w:rPr>
                <w:bCs/>
                <w:color w:val="auto"/>
                <w:sz w:val="24"/>
              </w:rPr>
              <w:t>营运期环境管理：</w:t>
            </w:r>
          </w:p>
          <w:p>
            <w:pPr>
              <w:numPr>
                <w:ilvl w:val="0"/>
                <w:numId w:val="13"/>
              </w:numPr>
              <w:spacing w:line="360" w:lineRule="auto"/>
              <w:rPr>
                <w:bCs/>
                <w:color w:val="auto"/>
                <w:sz w:val="24"/>
              </w:rPr>
            </w:pPr>
            <w:r>
              <w:rPr>
                <w:bCs/>
                <w:color w:val="auto"/>
                <w:sz w:val="24"/>
              </w:rPr>
              <w:t>根据国家环保政策、标准及环境监测要求，制定该项目营运期环保管理规章制度、各种污染物排放控制指标。</w:t>
            </w:r>
          </w:p>
          <w:p>
            <w:pPr>
              <w:numPr>
                <w:ilvl w:val="0"/>
                <w:numId w:val="13"/>
              </w:numPr>
              <w:spacing w:line="360" w:lineRule="auto"/>
              <w:rPr>
                <w:bCs/>
                <w:color w:val="auto"/>
                <w:sz w:val="24"/>
              </w:rPr>
            </w:pPr>
            <w:r>
              <w:rPr>
                <w:bCs/>
                <w:color w:val="auto"/>
                <w:sz w:val="24"/>
              </w:rPr>
              <w:t>负责该项目内所有环保设施的日常运行管理，保障各环保设施的正常运行，定期检修环保设施，并对环保设施的改进提出积极的建议。</w:t>
            </w:r>
          </w:p>
          <w:p>
            <w:pPr>
              <w:numPr>
                <w:ilvl w:val="0"/>
                <w:numId w:val="13"/>
              </w:numPr>
              <w:spacing w:line="360" w:lineRule="auto"/>
              <w:rPr>
                <w:bCs/>
                <w:color w:val="auto"/>
                <w:sz w:val="24"/>
              </w:rPr>
            </w:pPr>
            <w:r>
              <w:rPr>
                <w:bCs/>
                <w:color w:val="auto"/>
                <w:sz w:val="24"/>
              </w:rPr>
              <w:t>加强厂区废水排放管理，厂区实行雨污分流，</w:t>
            </w:r>
            <w:r>
              <w:rPr>
                <w:color w:val="auto"/>
                <w:sz w:val="24"/>
              </w:rPr>
              <w:t>完善场内废水收集道路系统</w:t>
            </w:r>
            <w:r>
              <w:rPr>
                <w:bCs/>
                <w:color w:val="auto"/>
                <w:sz w:val="24"/>
              </w:rPr>
              <w:t>，修建导流渠，厂区冲洗废水循环利用。</w:t>
            </w:r>
          </w:p>
          <w:p>
            <w:pPr>
              <w:numPr>
                <w:ilvl w:val="0"/>
                <w:numId w:val="13"/>
              </w:numPr>
              <w:spacing w:line="360" w:lineRule="auto"/>
              <w:rPr>
                <w:bCs/>
                <w:color w:val="auto"/>
                <w:sz w:val="24"/>
              </w:rPr>
            </w:pPr>
            <w:r>
              <w:rPr>
                <w:bCs/>
                <w:color w:val="auto"/>
                <w:sz w:val="24"/>
              </w:rPr>
              <w:t>建设固废暂存间，收集暂存项目产生的废沙石料及混凝土残渣，并回收利用。</w:t>
            </w:r>
          </w:p>
          <w:p>
            <w:pPr>
              <w:numPr>
                <w:ilvl w:val="0"/>
                <w:numId w:val="13"/>
              </w:numPr>
              <w:spacing w:line="360" w:lineRule="auto"/>
              <w:rPr>
                <w:bCs/>
                <w:color w:val="auto"/>
                <w:sz w:val="24"/>
              </w:rPr>
            </w:pPr>
            <w:r>
              <w:rPr>
                <w:bCs/>
                <w:color w:val="auto"/>
                <w:sz w:val="24"/>
              </w:rPr>
              <w:t>负责该项目营运期环境监测工作，及时掌握该项目污染状况，整理监测数据，建立污染源档案。</w:t>
            </w:r>
          </w:p>
          <w:p>
            <w:pPr>
              <w:numPr>
                <w:ilvl w:val="0"/>
                <w:numId w:val="13"/>
              </w:numPr>
              <w:spacing w:line="360" w:lineRule="auto"/>
              <w:rPr>
                <w:bCs/>
                <w:color w:val="auto"/>
                <w:sz w:val="24"/>
              </w:rPr>
            </w:pPr>
            <w:r>
              <w:rPr>
                <w:bCs/>
                <w:color w:val="auto"/>
                <w:sz w:val="24"/>
              </w:rPr>
              <w:t>设置专门的环境部门，项目营运期的环境管理由环境部门负责，并接受环境保护主管部门的指导和监督。</w:t>
            </w:r>
          </w:p>
          <w:p>
            <w:pPr>
              <w:pStyle w:val="68"/>
              <w:numPr>
                <w:ilvl w:val="0"/>
                <w:numId w:val="13"/>
              </w:numPr>
              <w:spacing w:line="360" w:lineRule="auto"/>
              <w:ind w:firstLineChars="0"/>
              <w:rPr>
                <w:rFonts w:cs="Times New Roman"/>
                <w:color w:val="auto"/>
                <w:sz w:val="24"/>
                <w:szCs w:val="24"/>
              </w:rPr>
            </w:pPr>
            <w:r>
              <w:rPr>
                <w:rFonts w:cs="Times New Roman"/>
                <w:color w:val="auto"/>
                <w:sz w:val="24"/>
                <w:szCs w:val="24"/>
              </w:rPr>
              <w:t>场内道路应选用大型压实设备碾压密实，再用混凝土硬化，所有混凝土等级和铺设厚度，应保证重车通行中不被损坏。</w:t>
            </w:r>
          </w:p>
          <w:p>
            <w:pPr>
              <w:pStyle w:val="68"/>
              <w:numPr>
                <w:ilvl w:val="0"/>
                <w:numId w:val="13"/>
              </w:numPr>
              <w:spacing w:line="360" w:lineRule="auto"/>
              <w:ind w:firstLineChars="0"/>
              <w:rPr>
                <w:rFonts w:cs="Times New Roman"/>
                <w:color w:val="auto"/>
                <w:sz w:val="24"/>
                <w:szCs w:val="24"/>
              </w:rPr>
            </w:pPr>
            <w:r>
              <w:rPr>
                <w:rFonts w:cs="Times New Roman"/>
                <w:color w:val="auto"/>
                <w:sz w:val="24"/>
                <w:szCs w:val="24"/>
              </w:rPr>
              <w:t>堆料场上架设防雨遮阳顶棚，隔墙高不低于2.0米，堆料不超过围挡高度的要求。</w:t>
            </w:r>
          </w:p>
          <w:p>
            <w:pPr>
              <w:pStyle w:val="68"/>
              <w:numPr>
                <w:ilvl w:val="0"/>
                <w:numId w:val="13"/>
              </w:numPr>
              <w:spacing w:line="360" w:lineRule="auto"/>
              <w:ind w:firstLineChars="0"/>
              <w:rPr>
                <w:rFonts w:cs="Times New Roman"/>
                <w:color w:val="auto"/>
                <w:sz w:val="24"/>
                <w:szCs w:val="24"/>
              </w:rPr>
            </w:pPr>
            <w:r>
              <w:rPr>
                <w:rFonts w:cs="Times New Roman"/>
                <w:color w:val="auto"/>
                <w:sz w:val="24"/>
                <w:szCs w:val="24"/>
              </w:rPr>
              <w:t>堆料场基座应用大型压路设备碾压密实后，再用混凝土硬化，混凝土等级和硬化厚度应保证材料堆积后，不压碎不下沉，并保留3-5%的流水坡，由仓底至水沟。</w:t>
            </w:r>
          </w:p>
          <w:p>
            <w:pPr>
              <w:pStyle w:val="68"/>
              <w:numPr>
                <w:ilvl w:val="0"/>
                <w:numId w:val="13"/>
              </w:numPr>
              <w:spacing w:line="360" w:lineRule="auto"/>
              <w:ind w:firstLineChars="0"/>
              <w:rPr>
                <w:rFonts w:cs="Times New Roman"/>
                <w:color w:val="auto"/>
                <w:sz w:val="24"/>
                <w:szCs w:val="24"/>
              </w:rPr>
            </w:pPr>
            <w:r>
              <w:rPr>
                <w:rFonts w:hint="eastAsia" w:cs="Times New Roman"/>
                <w:color w:val="auto"/>
                <w:sz w:val="24"/>
                <w:szCs w:val="24"/>
              </w:rPr>
              <w:t>料场棚顶均配有喷淋设施，日常定期对堆场内砂、石喷淋，以抑制砂、石扬尘量。</w:t>
            </w:r>
          </w:p>
          <w:p>
            <w:pPr>
              <w:pStyle w:val="68"/>
              <w:numPr>
                <w:ilvl w:val="0"/>
                <w:numId w:val="13"/>
              </w:numPr>
              <w:spacing w:line="360" w:lineRule="auto"/>
              <w:ind w:firstLineChars="0"/>
              <w:rPr>
                <w:rFonts w:cs="Times New Roman"/>
                <w:color w:val="auto"/>
                <w:sz w:val="24"/>
                <w:szCs w:val="24"/>
              </w:rPr>
            </w:pPr>
            <w:r>
              <w:rPr>
                <w:rFonts w:cs="Times New Roman"/>
                <w:color w:val="auto"/>
                <w:sz w:val="24"/>
                <w:szCs w:val="24"/>
              </w:rPr>
              <w:t>场内配套除尘雾泡机抑尘。</w:t>
            </w:r>
          </w:p>
          <w:p>
            <w:pPr>
              <w:pStyle w:val="68"/>
              <w:numPr>
                <w:ilvl w:val="0"/>
                <w:numId w:val="13"/>
              </w:numPr>
              <w:spacing w:line="360" w:lineRule="auto"/>
              <w:ind w:firstLineChars="0"/>
              <w:rPr>
                <w:rFonts w:cs="Times New Roman"/>
                <w:color w:val="auto"/>
                <w:sz w:val="24"/>
                <w:szCs w:val="24"/>
              </w:rPr>
            </w:pPr>
            <w:r>
              <w:rPr>
                <w:rFonts w:cs="Times New Roman"/>
                <w:color w:val="auto"/>
                <w:sz w:val="24"/>
                <w:szCs w:val="24"/>
              </w:rPr>
              <w:t>选用低噪声设备，高噪声设备采取减震、隔声、密闭等措施，并在厂界边界设置有砖砌实体围墙、种植树木、设置绿化带等。</w:t>
            </w:r>
          </w:p>
          <w:p>
            <w:pPr>
              <w:spacing w:line="360" w:lineRule="auto"/>
              <w:ind w:firstLine="480" w:firstLineChars="200"/>
              <w:rPr>
                <w:bCs/>
                <w:color w:val="auto"/>
                <w:sz w:val="24"/>
              </w:rPr>
            </w:pPr>
            <w:r>
              <w:rPr>
                <w:bCs/>
                <w:color w:val="auto"/>
                <w:sz w:val="24"/>
              </w:rPr>
              <w:t>本项目应建立以总经理负责，环境部门管理的专职环保职能科室，负责公司的环境档案管理，负责制定各项环保计划并监督实施，对全公司排污实行全程控制的监管，确保环保计划的实施和各项污染物的达标排放。</w:t>
            </w:r>
          </w:p>
          <w:p>
            <w:pPr>
              <w:spacing w:line="360" w:lineRule="auto"/>
              <w:ind w:firstLine="482" w:firstLineChars="200"/>
              <w:rPr>
                <w:b/>
                <w:bCs/>
                <w:color w:val="auto"/>
                <w:sz w:val="24"/>
              </w:rPr>
            </w:pPr>
            <w:r>
              <w:rPr>
                <w:b/>
                <w:bCs/>
                <w:color w:val="auto"/>
                <w:sz w:val="24"/>
              </w:rPr>
              <w:t>2</w:t>
            </w:r>
            <w:r>
              <w:rPr>
                <w:rFonts w:hint="eastAsia"/>
                <w:b/>
                <w:bCs/>
                <w:color w:val="auto"/>
                <w:sz w:val="24"/>
              </w:rPr>
              <w:t>）</w:t>
            </w:r>
            <w:r>
              <w:rPr>
                <w:b/>
                <w:bCs/>
                <w:color w:val="auto"/>
                <w:sz w:val="24"/>
              </w:rPr>
              <w:t>环境监测</w:t>
            </w:r>
          </w:p>
          <w:p>
            <w:pPr>
              <w:spacing w:line="360" w:lineRule="auto"/>
              <w:ind w:firstLine="480" w:firstLineChars="200"/>
              <w:rPr>
                <w:bCs/>
                <w:color w:val="auto"/>
                <w:sz w:val="24"/>
              </w:rPr>
            </w:pPr>
            <w:r>
              <w:rPr>
                <w:bCs/>
                <w:color w:val="auto"/>
                <w:sz w:val="24"/>
              </w:rPr>
              <w:t>开展环境监测是环境保护的重要内容。环境监测是环境保护的眼睛，是发现和解决环境问题的前提。建设单位可配备必要设备和人员对污染源和污染物的排放情况进行定期监测，亦可委托有资质单位进行监测，以便污染源的监控，发现问题及时整改，确保各项污染设施的正常运转和污染物的达标排放。监测内容和频次见表7-14。</w:t>
            </w:r>
          </w:p>
          <w:p>
            <w:pPr>
              <w:spacing w:line="360" w:lineRule="auto"/>
              <w:ind w:firstLine="482" w:firstLineChars="200"/>
              <w:jc w:val="center"/>
              <w:rPr>
                <w:b/>
                <w:color w:val="auto"/>
                <w:sz w:val="24"/>
              </w:rPr>
            </w:pPr>
            <w:r>
              <w:rPr>
                <w:b/>
                <w:color w:val="auto"/>
                <w:sz w:val="24"/>
              </w:rPr>
              <w:t>表7-14拟建项目环境监测计划一览表</w:t>
            </w:r>
          </w:p>
          <w:tbl>
            <w:tblPr>
              <w:tblStyle w:val="29"/>
              <w:tblW w:w="916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141"/>
              <w:gridCol w:w="2694"/>
              <w:gridCol w:w="4252"/>
              <w:gridCol w:w="107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63" w:hRule="atLeast"/>
                <w:jc w:val="center"/>
              </w:trPr>
              <w:tc>
                <w:tcPr>
                  <w:tcW w:w="1141"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类别</w:t>
                  </w:r>
                </w:p>
              </w:tc>
              <w:tc>
                <w:tcPr>
                  <w:tcW w:w="2694"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监测点位置</w:t>
                  </w:r>
                </w:p>
              </w:tc>
              <w:tc>
                <w:tcPr>
                  <w:tcW w:w="4252"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监测项目</w:t>
                  </w:r>
                </w:p>
              </w:tc>
              <w:tc>
                <w:tcPr>
                  <w:tcW w:w="1077"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监测频次</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141" w:type="dxa"/>
                  <w:vMerge w:val="restart"/>
                  <w:tcBorders>
                    <w:top w:val="single" w:color="auto" w:sz="6" w:space="0"/>
                    <w:left w:val="single" w:color="auto" w:sz="6" w:space="0"/>
                    <w:right w:val="single" w:color="auto" w:sz="6" w:space="0"/>
                  </w:tcBorders>
                  <w:vAlign w:val="center"/>
                </w:tcPr>
                <w:p>
                  <w:pPr>
                    <w:jc w:val="center"/>
                    <w:rPr>
                      <w:bCs/>
                      <w:color w:val="auto"/>
                      <w:szCs w:val="21"/>
                    </w:rPr>
                  </w:pPr>
                  <w:r>
                    <w:rPr>
                      <w:bCs/>
                      <w:color w:val="auto"/>
                      <w:szCs w:val="21"/>
                    </w:rPr>
                    <w:t>废气</w:t>
                  </w:r>
                </w:p>
              </w:tc>
              <w:tc>
                <w:tcPr>
                  <w:tcW w:w="2694" w:type="dxa"/>
                  <w:tcBorders>
                    <w:top w:val="single" w:color="auto" w:sz="6" w:space="0"/>
                    <w:left w:val="single" w:color="auto" w:sz="6" w:space="0"/>
                    <w:right w:val="single" w:color="auto" w:sz="6" w:space="0"/>
                  </w:tcBorders>
                  <w:vAlign w:val="center"/>
                </w:tcPr>
                <w:p>
                  <w:pPr>
                    <w:jc w:val="center"/>
                    <w:rPr>
                      <w:bCs/>
                      <w:color w:val="auto"/>
                      <w:szCs w:val="21"/>
                    </w:rPr>
                  </w:pPr>
                  <w:r>
                    <w:rPr>
                      <w:bCs/>
                      <w:color w:val="auto"/>
                      <w:szCs w:val="21"/>
                    </w:rPr>
                    <w:t>厂界监控点</w:t>
                  </w:r>
                </w:p>
              </w:tc>
              <w:tc>
                <w:tcPr>
                  <w:tcW w:w="4252" w:type="dxa"/>
                  <w:tcBorders>
                    <w:top w:val="single" w:color="auto" w:sz="6" w:space="0"/>
                    <w:left w:val="single" w:color="auto" w:sz="6" w:space="0"/>
                    <w:right w:val="single" w:color="auto" w:sz="6" w:space="0"/>
                  </w:tcBorders>
                  <w:vAlign w:val="center"/>
                </w:tcPr>
                <w:p>
                  <w:pPr>
                    <w:jc w:val="center"/>
                    <w:rPr>
                      <w:bCs/>
                      <w:color w:val="auto"/>
                      <w:szCs w:val="21"/>
                      <w:vertAlign w:val="subscript"/>
                    </w:rPr>
                  </w:pPr>
                  <w:r>
                    <w:rPr>
                      <w:bCs/>
                      <w:color w:val="auto"/>
                      <w:szCs w:val="21"/>
                    </w:rPr>
                    <w:t>粉尘</w:t>
                  </w:r>
                </w:p>
              </w:tc>
              <w:tc>
                <w:tcPr>
                  <w:tcW w:w="1077" w:type="dxa"/>
                  <w:vMerge w:val="restart"/>
                  <w:tcBorders>
                    <w:top w:val="single" w:color="auto" w:sz="6" w:space="0"/>
                    <w:left w:val="single" w:color="auto" w:sz="6" w:space="0"/>
                    <w:right w:val="single" w:color="auto" w:sz="6" w:space="0"/>
                  </w:tcBorders>
                  <w:vAlign w:val="center"/>
                </w:tcPr>
                <w:p>
                  <w:pPr>
                    <w:jc w:val="center"/>
                    <w:rPr>
                      <w:bCs/>
                      <w:color w:val="auto"/>
                      <w:szCs w:val="21"/>
                    </w:rPr>
                  </w:pPr>
                  <w:r>
                    <w:rPr>
                      <w:bCs/>
                      <w:color w:val="auto"/>
                      <w:szCs w:val="21"/>
                    </w:rPr>
                    <w:t>1次/</w:t>
                  </w:r>
                  <w:r>
                    <w:rPr>
                      <w:rFonts w:hint="eastAsia"/>
                      <w:bCs/>
                      <w:color w:val="auto"/>
                      <w:szCs w:val="21"/>
                    </w:rPr>
                    <w:t>半</w:t>
                  </w:r>
                  <w:r>
                    <w:rPr>
                      <w:bCs/>
                      <w:color w:val="auto"/>
                      <w:szCs w:val="21"/>
                    </w:rPr>
                    <w:t>年</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68" w:hRule="atLeast"/>
                <w:jc w:val="center"/>
              </w:trPr>
              <w:tc>
                <w:tcPr>
                  <w:tcW w:w="1141" w:type="dxa"/>
                  <w:vMerge w:val="continue"/>
                  <w:tcBorders>
                    <w:left w:val="single" w:color="auto" w:sz="6" w:space="0"/>
                    <w:right w:val="single" w:color="auto" w:sz="6" w:space="0"/>
                  </w:tcBorders>
                  <w:vAlign w:val="center"/>
                </w:tcPr>
                <w:p>
                  <w:pPr>
                    <w:jc w:val="center"/>
                    <w:rPr>
                      <w:bCs/>
                      <w:color w:val="auto"/>
                      <w:szCs w:val="21"/>
                    </w:rPr>
                  </w:pPr>
                </w:p>
              </w:tc>
              <w:tc>
                <w:tcPr>
                  <w:tcW w:w="2694" w:type="dxa"/>
                  <w:tcBorders>
                    <w:top w:val="single" w:color="auto" w:sz="6" w:space="0"/>
                    <w:left w:val="single" w:color="auto" w:sz="6" w:space="0"/>
                    <w:right w:val="single" w:color="auto" w:sz="6" w:space="0"/>
                  </w:tcBorders>
                  <w:vAlign w:val="center"/>
                </w:tcPr>
                <w:p>
                  <w:pPr>
                    <w:jc w:val="center"/>
                    <w:rPr>
                      <w:bCs/>
                      <w:color w:val="auto"/>
                      <w:szCs w:val="21"/>
                    </w:rPr>
                  </w:pPr>
                  <w:r>
                    <w:rPr>
                      <w:rFonts w:hint="eastAsia"/>
                      <w:bCs/>
                      <w:color w:val="auto"/>
                      <w:szCs w:val="21"/>
                    </w:rPr>
                    <w:t>制砂生产线除尘器排放口</w:t>
                  </w:r>
                </w:p>
              </w:tc>
              <w:tc>
                <w:tcPr>
                  <w:tcW w:w="4252" w:type="dxa"/>
                  <w:tcBorders>
                    <w:top w:val="single" w:color="auto" w:sz="6" w:space="0"/>
                    <w:left w:val="single" w:color="auto" w:sz="6" w:space="0"/>
                    <w:right w:val="single" w:color="auto" w:sz="6" w:space="0"/>
                  </w:tcBorders>
                  <w:vAlign w:val="center"/>
                </w:tcPr>
                <w:p>
                  <w:pPr>
                    <w:jc w:val="center"/>
                    <w:rPr>
                      <w:bCs/>
                      <w:color w:val="auto"/>
                      <w:szCs w:val="21"/>
                    </w:rPr>
                  </w:pPr>
                  <w:r>
                    <w:rPr>
                      <w:bCs/>
                      <w:color w:val="auto"/>
                      <w:szCs w:val="21"/>
                    </w:rPr>
                    <w:t>粉尘</w:t>
                  </w:r>
                </w:p>
              </w:tc>
              <w:tc>
                <w:tcPr>
                  <w:tcW w:w="1077" w:type="dxa"/>
                  <w:vMerge w:val="continue"/>
                  <w:tcBorders>
                    <w:left w:val="single" w:color="auto" w:sz="6" w:space="0"/>
                    <w:right w:val="single" w:color="auto" w:sz="6" w:space="0"/>
                  </w:tcBorders>
                  <w:vAlign w:val="center"/>
                </w:tcPr>
                <w:p>
                  <w:pPr>
                    <w:jc w:val="center"/>
                    <w:rPr>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1141"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噪声</w:t>
                  </w:r>
                </w:p>
              </w:tc>
              <w:tc>
                <w:tcPr>
                  <w:tcW w:w="2694"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厂界外1m，四周各一个点</w:t>
                  </w:r>
                </w:p>
              </w:tc>
              <w:tc>
                <w:tcPr>
                  <w:tcW w:w="4252"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等效A声级</w:t>
                  </w:r>
                </w:p>
              </w:tc>
              <w:tc>
                <w:tcPr>
                  <w:tcW w:w="1077" w:type="dxa"/>
                  <w:tcBorders>
                    <w:left w:val="single" w:color="auto" w:sz="6" w:space="0"/>
                    <w:right w:val="single" w:color="auto" w:sz="6" w:space="0"/>
                  </w:tcBorders>
                  <w:vAlign w:val="center"/>
                </w:tcPr>
                <w:p>
                  <w:pPr>
                    <w:jc w:val="center"/>
                    <w:rPr>
                      <w:bCs/>
                      <w:color w:val="auto"/>
                      <w:szCs w:val="21"/>
                    </w:rPr>
                  </w:pPr>
                  <w:r>
                    <w:rPr>
                      <w:rFonts w:hint="eastAsia"/>
                      <w:bCs/>
                      <w:color w:val="auto"/>
                      <w:szCs w:val="21"/>
                    </w:rPr>
                    <w:t>1次/季</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91" w:hRule="atLeast"/>
                <w:jc w:val="center"/>
              </w:trPr>
              <w:tc>
                <w:tcPr>
                  <w:tcW w:w="1141"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rFonts w:hint="eastAsia"/>
                      <w:bCs/>
                      <w:color w:val="auto"/>
                      <w:szCs w:val="21"/>
                    </w:rPr>
                    <w:t>生活</w:t>
                  </w:r>
                  <w:r>
                    <w:rPr>
                      <w:bCs/>
                      <w:color w:val="auto"/>
                      <w:szCs w:val="21"/>
                    </w:rPr>
                    <w:t>污水</w:t>
                  </w:r>
                </w:p>
              </w:tc>
              <w:tc>
                <w:tcPr>
                  <w:tcW w:w="2694"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rFonts w:hint="eastAsia"/>
                      <w:bCs/>
                      <w:color w:val="auto"/>
                      <w:szCs w:val="21"/>
                    </w:rPr>
                    <w:t>生活</w:t>
                  </w:r>
                  <w:r>
                    <w:rPr>
                      <w:bCs/>
                      <w:color w:val="auto"/>
                      <w:szCs w:val="21"/>
                    </w:rPr>
                    <w:t>污水</w:t>
                  </w:r>
                  <w:r>
                    <w:rPr>
                      <w:rFonts w:hint="eastAsia"/>
                      <w:bCs/>
                      <w:color w:val="auto"/>
                      <w:szCs w:val="21"/>
                    </w:rPr>
                    <w:t>暂</w:t>
                  </w:r>
                  <w:r>
                    <w:rPr>
                      <w:bCs/>
                      <w:color w:val="auto"/>
                      <w:szCs w:val="21"/>
                    </w:rPr>
                    <w:t>存池</w:t>
                  </w:r>
                </w:p>
              </w:tc>
              <w:tc>
                <w:tcPr>
                  <w:tcW w:w="4252" w:type="dxa"/>
                  <w:tcBorders>
                    <w:top w:val="single" w:color="auto" w:sz="6" w:space="0"/>
                    <w:left w:val="single" w:color="auto" w:sz="6" w:space="0"/>
                    <w:bottom w:val="single" w:color="auto" w:sz="6" w:space="0"/>
                    <w:right w:val="single" w:color="auto" w:sz="6" w:space="0"/>
                  </w:tcBorders>
                  <w:vAlign w:val="center"/>
                </w:tcPr>
                <w:p>
                  <w:pPr>
                    <w:jc w:val="center"/>
                    <w:rPr>
                      <w:bCs/>
                      <w:color w:val="auto"/>
                      <w:szCs w:val="21"/>
                    </w:rPr>
                  </w:pPr>
                  <w:r>
                    <w:rPr>
                      <w:rFonts w:hint="eastAsia"/>
                      <w:bCs/>
                      <w:color w:val="auto"/>
                      <w:szCs w:val="21"/>
                    </w:rPr>
                    <w:t>NH</w:t>
                  </w:r>
                  <w:r>
                    <w:rPr>
                      <w:rFonts w:hint="eastAsia"/>
                      <w:bCs/>
                      <w:color w:val="auto"/>
                      <w:szCs w:val="21"/>
                      <w:vertAlign w:val="subscript"/>
                    </w:rPr>
                    <w:t>3</w:t>
                  </w:r>
                  <w:r>
                    <w:rPr>
                      <w:rFonts w:hint="eastAsia"/>
                      <w:bCs/>
                      <w:color w:val="auto"/>
                      <w:szCs w:val="21"/>
                    </w:rPr>
                    <w:t>-N、</w:t>
                  </w:r>
                  <w:r>
                    <w:rPr>
                      <w:bCs/>
                      <w:color w:val="auto"/>
                      <w:szCs w:val="21"/>
                    </w:rPr>
                    <w:t>CODcr</w:t>
                  </w:r>
                  <w:r>
                    <w:rPr>
                      <w:rFonts w:hint="eastAsia"/>
                      <w:bCs/>
                      <w:color w:val="auto"/>
                      <w:szCs w:val="21"/>
                    </w:rPr>
                    <w:t>、浊</w:t>
                  </w:r>
                  <w:r>
                    <w:rPr>
                      <w:bCs/>
                      <w:color w:val="auto"/>
                      <w:szCs w:val="21"/>
                    </w:rPr>
                    <w:t>度</w:t>
                  </w:r>
                  <w:r>
                    <w:rPr>
                      <w:rFonts w:hint="eastAsia"/>
                      <w:bCs/>
                      <w:color w:val="auto"/>
                      <w:szCs w:val="21"/>
                    </w:rPr>
                    <w:t>、</w:t>
                  </w:r>
                  <w:r>
                    <w:rPr>
                      <w:bCs/>
                      <w:color w:val="auto"/>
                      <w:szCs w:val="21"/>
                    </w:rPr>
                    <w:t>阴离子表面活性</w:t>
                  </w:r>
                  <w:r>
                    <w:rPr>
                      <w:rFonts w:hint="eastAsia"/>
                      <w:bCs/>
                      <w:color w:val="auto"/>
                      <w:szCs w:val="21"/>
                    </w:rPr>
                    <w:t>剂</w:t>
                  </w:r>
                </w:p>
              </w:tc>
              <w:tc>
                <w:tcPr>
                  <w:tcW w:w="1077" w:type="dxa"/>
                  <w:tcBorders>
                    <w:left w:val="single" w:color="auto" w:sz="6" w:space="0"/>
                    <w:bottom w:val="single" w:color="auto" w:sz="6" w:space="0"/>
                    <w:right w:val="single" w:color="auto" w:sz="6" w:space="0"/>
                  </w:tcBorders>
                  <w:vAlign w:val="center"/>
                </w:tcPr>
                <w:p>
                  <w:pPr>
                    <w:jc w:val="center"/>
                    <w:rPr>
                      <w:bCs/>
                      <w:color w:val="auto"/>
                      <w:szCs w:val="21"/>
                    </w:rPr>
                  </w:pPr>
                  <w:r>
                    <w:rPr>
                      <w:bCs/>
                      <w:color w:val="auto"/>
                      <w:szCs w:val="21"/>
                    </w:rPr>
                    <w:t>1次/年</w:t>
                  </w:r>
                </w:p>
              </w:tc>
            </w:tr>
          </w:tbl>
          <w:p>
            <w:pPr>
              <w:adjustRightInd w:val="0"/>
              <w:snapToGrid w:val="0"/>
              <w:spacing w:before="156" w:beforeLines="50" w:line="360" w:lineRule="auto"/>
              <w:ind w:firstLine="482" w:firstLineChars="200"/>
              <w:rPr>
                <w:b/>
                <w:color w:val="auto"/>
                <w:sz w:val="24"/>
              </w:rPr>
            </w:pPr>
            <w:r>
              <w:rPr>
                <w:rFonts w:hint="eastAsia"/>
                <w:b/>
                <w:color w:val="auto"/>
                <w:sz w:val="24"/>
              </w:rPr>
              <w:t>七</w:t>
            </w:r>
            <w:r>
              <w:rPr>
                <w:b/>
                <w:color w:val="auto"/>
                <w:sz w:val="24"/>
              </w:rPr>
              <w:t>、环保投资估算</w:t>
            </w:r>
          </w:p>
          <w:p>
            <w:pPr>
              <w:adjustRightInd w:val="0"/>
              <w:snapToGrid w:val="0"/>
              <w:spacing w:line="360" w:lineRule="auto"/>
              <w:ind w:firstLine="482" w:firstLineChars="200"/>
              <w:rPr>
                <w:b/>
                <w:color w:val="auto"/>
                <w:sz w:val="24"/>
              </w:rPr>
            </w:pPr>
            <w:r>
              <w:rPr>
                <w:b/>
                <w:color w:val="auto"/>
                <w:sz w:val="24"/>
              </w:rPr>
              <w:t>1、环保投资</w:t>
            </w:r>
          </w:p>
          <w:p>
            <w:pPr>
              <w:adjustRightInd w:val="0"/>
              <w:snapToGrid w:val="0"/>
              <w:spacing w:line="360" w:lineRule="auto"/>
              <w:ind w:firstLine="480" w:firstLineChars="200"/>
              <w:rPr>
                <w:color w:val="auto"/>
                <w:sz w:val="24"/>
              </w:rPr>
            </w:pPr>
            <w:r>
              <w:rPr>
                <w:color w:val="auto"/>
                <w:sz w:val="24"/>
              </w:rPr>
              <w:t>项目主要环保投资详见表7-15：</w:t>
            </w:r>
          </w:p>
          <w:p>
            <w:pPr>
              <w:tabs>
                <w:tab w:val="left" w:pos="0"/>
              </w:tabs>
              <w:spacing w:line="360" w:lineRule="auto"/>
              <w:jc w:val="center"/>
              <w:rPr>
                <w:b/>
                <w:color w:val="auto"/>
                <w:sz w:val="24"/>
              </w:rPr>
            </w:pPr>
            <w:r>
              <w:rPr>
                <w:b/>
                <w:color w:val="auto"/>
                <w:sz w:val="24"/>
              </w:rPr>
              <w:t>表7-15建设项目环保投资一览表</w:t>
            </w:r>
          </w:p>
          <w:tbl>
            <w:tblPr>
              <w:tblStyle w:val="29"/>
              <w:tblW w:w="91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709"/>
              <w:gridCol w:w="1701"/>
              <w:gridCol w:w="4765"/>
              <w:gridCol w:w="12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720" w:type="dxa"/>
                  <w:tcBorders>
                    <w:top w:val="single" w:color="auto" w:sz="4" w:space="0"/>
                    <w:left w:val="single" w:color="auto" w:sz="4" w:space="0"/>
                    <w:bottom w:val="single" w:color="auto" w:sz="4" w:space="0"/>
                    <w:right w:val="single" w:color="auto" w:sz="4" w:space="0"/>
                  </w:tcBorders>
                  <w:vAlign w:val="center"/>
                </w:tcPr>
                <w:p>
                  <w:pPr>
                    <w:jc w:val="center"/>
                    <w:rPr>
                      <w:b/>
                      <w:color w:val="auto"/>
                      <w:kern w:val="0"/>
                    </w:rPr>
                  </w:pPr>
                  <w:r>
                    <w:rPr>
                      <w:b/>
                      <w:color w:val="auto"/>
                      <w:kern w:val="0"/>
                    </w:rPr>
                    <w:t>序号</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jc w:val="center"/>
                    <w:rPr>
                      <w:b/>
                      <w:color w:val="auto"/>
                      <w:kern w:val="0"/>
                    </w:rPr>
                  </w:pPr>
                  <w:r>
                    <w:rPr>
                      <w:b/>
                      <w:color w:val="auto"/>
                      <w:kern w:val="0"/>
                    </w:rPr>
                    <w:t>污染源</w:t>
                  </w: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b/>
                      <w:color w:val="auto"/>
                      <w:kern w:val="0"/>
                    </w:rPr>
                    <w:t>主要环保措施</w:t>
                  </w:r>
                </w:p>
              </w:tc>
              <w:tc>
                <w:tcPr>
                  <w:tcW w:w="1281" w:type="dxa"/>
                  <w:tcBorders>
                    <w:top w:val="single" w:color="auto" w:sz="4" w:space="0"/>
                    <w:left w:val="single" w:color="auto" w:sz="4" w:space="0"/>
                    <w:bottom w:val="single" w:color="auto" w:sz="4" w:space="0"/>
                    <w:right w:val="single" w:color="auto" w:sz="4" w:space="0"/>
                  </w:tcBorders>
                  <w:vAlign w:val="center"/>
                </w:tcPr>
                <w:p>
                  <w:pPr>
                    <w:jc w:val="center"/>
                    <w:rPr>
                      <w:b/>
                      <w:color w:val="auto"/>
                      <w:kern w:val="0"/>
                    </w:rPr>
                  </w:pPr>
                  <w:r>
                    <w:rPr>
                      <w:b/>
                      <w:color w:val="auto"/>
                      <w:kern w:val="0"/>
                    </w:rPr>
                    <w:t>投资金额</w:t>
                  </w:r>
                </w:p>
                <w:p>
                  <w:pPr>
                    <w:jc w:val="center"/>
                    <w:rPr>
                      <w:color w:val="auto"/>
                      <w:kern w:val="0"/>
                    </w:rPr>
                  </w:pPr>
                  <w:r>
                    <w:rPr>
                      <w:b/>
                      <w:color w:val="auto"/>
                      <w:kern w:val="0"/>
                    </w:rPr>
                    <w:t>单位：万元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720"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1</w:t>
                  </w:r>
                </w:p>
              </w:tc>
              <w:tc>
                <w:tcPr>
                  <w:tcW w:w="2410"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color w:val="auto"/>
                    </w:rPr>
                    <w:t>废气</w:t>
                  </w:r>
                </w:p>
              </w:tc>
              <w:tc>
                <w:tcPr>
                  <w:tcW w:w="4765" w:type="dxa"/>
                  <w:tcBorders>
                    <w:top w:val="single" w:color="auto" w:sz="4" w:space="0"/>
                    <w:left w:val="single" w:color="auto" w:sz="4" w:space="0"/>
                    <w:right w:val="single" w:color="auto" w:sz="4" w:space="0"/>
                  </w:tcBorders>
                  <w:vAlign w:val="center"/>
                </w:tcPr>
                <w:p>
                  <w:pPr>
                    <w:jc w:val="center"/>
                    <w:rPr>
                      <w:color w:val="auto"/>
                    </w:rPr>
                  </w:pPr>
                  <w:r>
                    <w:rPr>
                      <w:color w:val="auto"/>
                    </w:rPr>
                    <w:t>堆料场设置三面围挡、顶棚、自动洒水装置</w:t>
                  </w:r>
                </w:p>
              </w:tc>
              <w:tc>
                <w:tcPr>
                  <w:tcW w:w="1281"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color w:val="auto"/>
                      <w:kern w:val="0"/>
                    </w:rPr>
                  </w:pPr>
                  <w:r>
                    <w:rPr>
                      <w:color w:val="auto"/>
                      <w:kern w:val="0"/>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装卸料点上方以及料斗上方均设置水雾喷淋装置</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水泥筒库粉尘各设置一台单机脉冲滤芯除尘器</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搅拌系统采用袋式除尘器处理系统</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制砂生产线采用</w:t>
                  </w:r>
                  <w:r>
                    <w:rPr>
                      <w:rFonts w:hint="eastAsia"/>
                      <w:color w:val="auto"/>
                    </w:rPr>
                    <w:t>脉</w:t>
                  </w:r>
                  <w:r>
                    <w:rPr>
                      <w:color w:val="auto"/>
                    </w:rPr>
                    <w:t>冲</w:t>
                  </w:r>
                  <w:r>
                    <w:rPr>
                      <w:rFonts w:hint="eastAsia"/>
                      <w:color w:val="auto"/>
                    </w:rPr>
                    <w:t>布袋除尘器</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场内配套除尘雾泡机抑尘</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720"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2</w:t>
                  </w:r>
                </w:p>
              </w:tc>
              <w:tc>
                <w:tcPr>
                  <w:tcW w:w="2410" w:type="dxa"/>
                  <w:gridSpan w:val="2"/>
                  <w:vMerge w:val="restart"/>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污水</w:t>
                  </w:r>
                </w:p>
              </w:tc>
              <w:tc>
                <w:tcPr>
                  <w:tcW w:w="4765" w:type="dxa"/>
                  <w:tcBorders>
                    <w:top w:val="single" w:color="auto" w:sz="4" w:space="0"/>
                    <w:left w:val="single" w:color="auto" w:sz="4" w:space="0"/>
                    <w:right w:val="single" w:color="auto" w:sz="4" w:space="0"/>
                  </w:tcBorders>
                  <w:vAlign w:val="center"/>
                </w:tcPr>
                <w:p>
                  <w:pPr>
                    <w:jc w:val="center"/>
                    <w:rPr>
                      <w:color w:val="auto"/>
                    </w:rPr>
                  </w:pPr>
                  <w:r>
                    <w:rPr>
                      <w:color w:val="auto"/>
                    </w:rPr>
                    <w:t>生活污水处理：</w:t>
                  </w:r>
                  <w:r>
                    <w:rPr>
                      <w:rFonts w:hint="eastAsia"/>
                      <w:color w:val="auto"/>
                    </w:rPr>
                    <w:t>地埋式一</w:t>
                  </w:r>
                  <w:r>
                    <w:rPr>
                      <w:color w:val="auto"/>
                    </w:rPr>
                    <w:t>体化</w:t>
                  </w:r>
                  <w:r>
                    <w:rPr>
                      <w:rFonts w:hint="eastAsia"/>
                      <w:color w:val="auto"/>
                    </w:rPr>
                    <w:t>污水处理设施</w:t>
                  </w:r>
                </w:p>
              </w:tc>
              <w:tc>
                <w:tcPr>
                  <w:tcW w:w="1281"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color w:val="auto"/>
                      <w:kern w:val="0"/>
                    </w:rPr>
                  </w:pPr>
                  <w:r>
                    <w:rPr>
                      <w:color w:val="auto"/>
                      <w:kern w:val="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rFonts w:hint="eastAsia"/>
                      <w:color w:val="auto"/>
                    </w:rPr>
                    <w:t>清洗废水</w:t>
                  </w:r>
                  <w:r>
                    <w:rPr>
                      <w:color w:val="auto"/>
                    </w:rPr>
                    <w:t>处理：</w:t>
                  </w:r>
                  <w:r>
                    <w:rPr>
                      <w:rFonts w:hint="eastAsia"/>
                      <w:color w:val="auto"/>
                    </w:rPr>
                    <w:t>四</w:t>
                  </w:r>
                  <w:r>
                    <w:rPr>
                      <w:color w:val="auto"/>
                    </w:rPr>
                    <w:t>级</w:t>
                  </w:r>
                  <w:r>
                    <w:rPr>
                      <w:rFonts w:hint="eastAsia"/>
                      <w:color w:val="auto"/>
                    </w:rPr>
                    <w:t>沉淀</w:t>
                  </w:r>
                  <w:r>
                    <w:rPr>
                      <w:color w:val="auto"/>
                    </w:rPr>
                    <w:t>处理系统</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c>
                <w:tcPr>
                  <w:tcW w:w="2410"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场地废水导流渠</w:t>
                  </w:r>
                </w:p>
              </w:tc>
              <w:tc>
                <w:tcPr>
                  <w:tcW w:w="1281"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720" w:type="dxa"/>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3</w:t>
                  </w:r>
                </w:p>
              </w:tc>
              <w:tc>
                <w:tcPr>
                  <w:tcW w:w="2410" w:type="dxa"/>
                  <w:gridSpan w:val="2"/>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噪声</w:t>
                  </w:r>
                </w:p>
              </w:tc>
              <w:tc>
                <w:tcPr>
                  <w:tcW w:w="4765"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kern w:val="0"/>
                      <w:szCs w:val="21"/>
                    </w:rPr>
                  </w:pPr>
                  <w:r>
                    <w:rPr>
                      <w:color w:val="auto"/>
                      <w:kern w:val="0"/>
                      <w:szCs w:val="21"/>
                    </w:rPr>
                    <w:t>选用低噪声设备，高噪声设备采取减震、隔声、密闭等措施，并在厂界边界设置有砖砌实体围墙、种植树木、设置绿化带</w:t>
                  </w:r>
                </w:p>
              </w:tc>
              <w:tc>
                <w:tcPr>
                  <w:tcW w:w="1281"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color w:val="auto"/>
                      <w:kern w:val="0"/>
                    </w:rPr>
                  </w:pPr>
                  <w:r>
                    <w:rPr>
                      <w:color w:val="auto"/>
                      <w:kern w:val="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20"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4</w:t>
                  </w:r>
                </w:p>
              </w:tc>
              <w:tc>
                <w:tcPr>
                  <w:tcW w:w="709"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固体废物</w:t>
                  </w:r>
                </w:p>
              </w:tc>
              <w:tc>
                <w:tcPr>
                  <w:tcW w:w="1701"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生活垃圾</w:t>
                  </w: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rPr>
                    <w:t>环卫部门处理</w:t>
                  </w:r>
                </w:p>
              </w:tc>
              <w:tc>
                <w:tcPr>
                  <w:tcW w:w="1281" w:type="dxa"/>
                  <w:vMerge w:val="restart"/>
                  <w:tcBorders>
                    <w:top w:val="single" w:color="auto" w:sz="4" w:space="0"/>
                    <w:left w:val="single" w:color="auto" w:sz="4" w:space="0"/>
                    <w:right w:val="single" w:color="auto" w:sz="4" w:space="0"/>
                  </w:tcBorders>
                  <w:vAlign w:val="center"/>
                </w:tcPr>
                <w:p>
                  <w:pPr>
                    <w:jc w:val="center"/>
                    <w:rPr>
                      <w:color w:val="auto"/>
                      <w:kern w:val="0"/>
                    </w:rPr>
                  </w:pPr>
                  <w:r>
                    <w:rPr>
                      <w:color w:val="auto"/>
                      <w:kern w:val="0"/>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20"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p>
              </w:tc>
              <w:tc>
                <w:tcPr>
                  <w:tcW w:w="709" w:type="dxa"/>
                  <w:vMerge w:val="continue"/>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p>
              </w:tc>
              <w:tc>
                <w:tcPr>
                  <w:tcW w:w="1701" w:type="dxa"/>
                  <w:tcBorders>
                    <w:top w:val="single" w:color="auto" w:sz="4" w:space="0"/>
                    <w:left w:val="single" w:color="auto" w:sz="4" w:space="0"/>
                    <w:bottom w:val="single" w:color="auto" w:sz="4" w:space="0"/>
                    <w:right w:val="single" w:color="auto" w:sz="4" w:space="0"/>
                  </w:tcBorders>
                  <w:vAlign w:val="center"/>
                </w:tcPr>
                <w:p>
                  <w:pPr>
                    <w:pStyle w:val="81"/>
                    <w:rPr>
                      <w:rFonts w:ascii="Times New Roman" w:hAnsi="Times New Roman"/>
                      <w:color w:val="auto"/>
                      <w:szCs w:val="21"/>
                    </w:rPr>
                  </w:pPr>
                  <w:r>
                    <w:rPr>
                      <w:rFonts w:ascii="Times New Roman" w:hAnsi="Times New Roman"/>
                      <w:color w:val="auto"/>
                      <w:kern w:val="2"/>
                      <w:sz w:val="21"/>
                      <w:szCs w:val="21"/>
                    </w:rPr>
                    <w:t>一般工业固废</w:t>
                  </w:r>
                </w:p>
              </w:tc>
              <w:tc>
                <w:tcPr>
                  <w:tcW w:w="4765" w:type="dxa"/>
                  <w:tcBorders>
                    <w:top w:val="single" w:color="auto" w:sz="4" w:space="0"/>
                    <w:left w:val="single" w:color="auto" w:sz="4" w:space="0"/>
                    <w:bottom w:val="single" w:color="auto" w:sz="4" w:space="0"/>
                    <w:right w:val="single" w:color="auto" w:sz="4" w:space="0"/>
                  </w:tcBorders>
                  <w:vAlign w:val="center"/>
                </w:tcPr>
                <w:p>
                  <w:pPr>
                    <w:jc w:val="center"/>
                    <w:rPr>
                      <w:bCs/>
                      <w:color w:val="auto"/>
                      <w:szCs w:val="21"/>
                    </w:rPr>
                  </w:pPr>
                  <w:r>
                    <w:rPr>
                      <w:bCs/>
                      <w:color w:val="auto"/>
                      <w:szCs w:val="21"/>
                    </w:rPr>
                    <w:t>设置防火、防雨淋暂存点</w:t>
                  </w:r>
                  <w:r>
                    <w:rPr>
                      <w:rFonts w:hint="eastAsia"/>
                      <w:bCs/>
                      <w:color w:val="auto"/>
                      <w:szCs w:val="21"/>
                    </w:rPr>
                    <w:t>，砂石分离机</w:t>
                  </w:r>
                </w:p>
              </w:tc>
              <w:tc>
                <w:tcPr>
                  <w:tcW w:w="1281" w:type="dxa"/>
                  <w:vMerge w:val="continue"/>
                  <w:tcBorders>
                    <w:left w:val="single" w:color="auto" w:sz="4" w:space="0"/>
                    <w:bottom w:val="single" w:color="auto" w:sz="4" w:space="0"/>
                    <w:right w:val="single" w:color="auto" w:sz="4" w:space="0"/>
                  </w:tcBorders>
                  <w:vAlign w:val="center"/>
                </w:tcPr>
                <w:p>
                  <w:pPr>
                    <w:jc w:val="center"/>
                    <w:rPr>
                      <w:color w:val="auto"/>
                      <w:kern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720" w:type="dxa"/>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5</w:t>
                  </w:r>
                </w:p>
              </w:tc>
              <w:tc>
                <w:tcPr>
                  <w:tcW w:w="7175" w:type="dxa"/>
                  <w:gridSpan w:val="3"/>
                  <w:tcBorders>
                    <w:top w:val="single" w:color="auto" w:sz="4" w:space="0"/>
                    <w:left w:val="single" w:color="auto" w:sz="4" w:space="0"/>
                    <w:bottom w:val="single" w:color="auto" w:sz="4" w:space="0"/>
                    <w:right w:val="single" w:color="auto" w:sz="4" w:space="0"/>
                  </w:tcBorders>
                  <w:vAlign w:val="center"/>
                </w:tcPr>
                <w:p>
                  <w:pPr>
                    <w:jc w:val="center"/>
                    <w:rPr>
                      <w:color w:val="auto"/>
                    </w:rPr>
                  </w:pPr>
                  <w:r>
                    <w:rPr>
                      <w:color w:val="auto"/>
                      <w:kern w:val="0"/>
                    </w:rPr>
                    <w:t>合计</w:t>
                  </w:r>
                </w:p>
              </w:tc>
              <w:tc>
                <w:tcPr>
                  <w:tcW w:w="1281" w:type="dxa"/>
                  <w:tcBorders>
                    <w:top w:val="single" w:color="auto" w:sz="4" w:space="0"/>
                    <w:left w:val="single" w:color="auto" w:sz="4" w:space="0"/>
                    <w:bottom w:val="single" w:color="auto" w:sz="4" w:space="0"/>
                    <w:right w:val="single" w:color="auto" w:sz="4" w:space="0"/>
                  </w:tcBorders>
                  <w:vAlign w:val="center"/>
                </w:tcPr>
                <w:p>
                  <w:pPr>
                    <w:jc w:val="center"/>
                    <w:rPr>
                      <w:color w:val="auto"/>
                      <w:kern w:val="0"/>
                    </w:rPr>
                  </w:pPr>
                  <w:r>
                    <w:rPr>
                      <w:color w:val="auto"/>
                      <w:kern w:val="0"/>
                    </w:rPr>
                    <w:t>150</w:t>
                  </w:r>
                </w:p>
              </w:tc>
            </w:tr>
          </w:tbl>
          <w:p>
            <w:pPr>
              <w:adjustRightInd w:val="0"/>
              <w:snapToGrid w:val="0"/>
              <w:spacing w:line="360" w:lineRule="auto"/>
              <w:ind w:firstLine="354" w:firstLineChars="147"/>
              <w:outlineLvl w:val="1"/>
              <w:rPr>
                <w:b/>
                <w:color w:val="auto"/>
                <w:sz w:val="24"/>
              </w:rPr>
            </w:pPr>
            <w:r>
              <w:rPr>
                <w:b/>
                <w:color w:val="auto"/>
                <w:sz w:val="24"/>
              </w:rPr>
              <w:t>2、环境影响经济损益分析</w:t>
            </w:r>
          </w:p>
          <w:p>
            <w:pPr>
              <w:adjustRightInd w:val="0"/>
              <w:snapToGrid w:val="0"/>
              <w:spacing w:line="360" w:lineRule="auto"/>
              <w:ind w:firstLine="480" w:firstLineChars="200"/>
              <w:outlineLvl w:val="1"/>
              <w:rPr>
                <w:bCs/>
                <w:color w:val="auto"/>
                <w:sz w:val="24"/>
              </w:rPr>
            </w:pPr>
            <w:r>
              <w:rPr>
                <w:color w:val="auto"/>
                <w:sz w:val="24"/>
              </w:rPr>
              <w:t>项目总投资</w:t>
            </w:r>
            <w:r>
              <w:rPr>
                <w:rFonts w:hint="eastAsia"/>
                <w:color w:val="auto"/>
                <w:sz w:val="24"/>
              </w:rPr>
              <w:t>1512</w:t>
            </w:r>
            <w:r>
              <w:rPr>
                <w:color w:val="auto"/>
                <w:sz w:val="24"/>
              </w:rPr>
              <w:t>万元，环保投资约150万元，占总投资额</w:t>
            </w:r>
            <w:r>
              <w:rPr>
                <w:rFonts w:hint="eastAsia"/>
                <w:color w:val="auto"/>
                <w:sz w:val="24"/>
              </w:rPr>
              <w:t>9.9</w:t>
            </w:r>
            <w:r>
              <w:rPr>
                <w:color w:val="auto"/>
                <w:sz w:val="24"/>
              </w:rPr>
              <w:t>%。环保工程的建设会给企业带来环境效益和社会效益，</w:t>
            </w:r>
            <w:r>
              <w:rPr>
                <w:bCs/>
                <w:color w:val="auto"/>
                <w:sz w:val="24"/>
              </w:rPr>
              <w:t>具体表现在：</w:t>
            </w:r>
          </w:p>
          <w:p>
            <w:pPr>
              <w:adjustRightInd w:val="0"/>
              <w:snapToGrid w:val="0"/>
              <w:spacing w:line="360" w:lineRule="auto"/>
              <w:ind w:firstLine="480" w:firstLineChars="200"/>
              <w:rPr>
                <w:bCs/>
                <w:color w:val="auto"/>
                <w:sz w:val="24"/>
              </w:rPr>
            </w:pPr>
            <w:r>
              <w:rPr>
                <w:bCs/>
                <w:color w:val="auto"/>
                <w:sz w:val="24"/>
              </w:rPr>
              <w:t>（1）工业废物</w:t>
            </w:r>
            <w:r>
              <w:rPr>
                <w:color w:val="auto"/>
                <w:sz w:val="24"/>
              </w:rPr>
              <w:t>作为生产原料回用，不外排</w:t>
            </w:r>
            <w:r>
              <w:rPr>
                <w:bCs/>
                <w:color w:val="auto"/>
                <w:sz w:val="24"/>
              </w:rPr>
              <w:t>；生活垃圾收集集中，可以减轻对环境卫生、景观的影响，有利于进一步处理处置</w:t>
            </w:r>
            <w:r>
              <w:rPr>
                <w:color w:val="auto"/>
                <w:sz w:val="24"/>
              </w:rPr>
              <w:t>。</w:t>
            </w:r>
          </w:p>
          <w:p>
            <w:pPr>
              <w:adjustRightInd w:val="0"/>
              <w:snapToGrid w:val="0"/>
              <w:spacing w:line="360" w:lineRule="auto"/>
              <w:ind w:firstLine="480" w:firstLineChars="200"/>
              <w:rPr>
                <w:bCs/>
                <w:color w:val="auto"/>
                <w:sz w:val="24"/>
              </w:rPr>
            </w:pPr>
            <w:r>
              <w:rPr>
                <w:bCs/>
                <w:color w:val="auto"/>
                <w:sz w:val="24"/>
              </w:rPr>
              <w:t>（2）</w:t>
            </w:r>
            <w:r>
              <w:rPr>
                <w:color w:val="auto"/>
                <w:sz w:val="24"/>
              </w:rPr>
              <w:t>项目噪声处理措施的投入，可以减少对周围声环境的影响，避免与周围群众产生不必要的纠纷。</w:t>
            </w:r>
          </w:p>
          <w:p>
            <w:pPr>
              <w:adjustRightInd w:val="0"/>
              <w:snapToGrid w:val="0"/>
              <w:spacing w:line="360" w:lineRule="auto"/>
              <w:ind w:firstLine="480" w:firstLineChars="200"/>
              <w:rPr>
                <w:bCs/>
                <w:color w:val="auto"/>
                <w:sz w:val="24"/>
              </w:rPr>
            </w:pPr>
            <w:r>
              <w:rPr>
                <w:bCs/>
                <w:color w:val="auto"/>
                <w:sz w:val="24"/>
              </w:rPr>
              <w:t>（3）废水、废气排放处理设施的投资，既保证了职工健康不受危害，又使废水、废气达标排放，减少了对周围环境的影响。</w:t>
            </w:r>
          </w:p>
          <w:p>
            <w:pPr>
              <w:pStyle w:val="58"/>
              <w:spacing w:line="360" w:lineRule="auto"/>
              <w:ind w:firstLine="480" w:firstLineChars="200"/>
              <w:jc w:val="both"/>
              <w:rPr>
                <w:rFonts w:eastAsia="宋体"/>
                <w:color w:val="auto"/>
                <w:sz w:val="24"/>
              </w:rPr>
            </w:pPr>
            <w:r>
              <w:rPr>
                <w:rFonts w:eastAsia="宋体"/>
                <w:color w:val="auto"/>
                <w:sz w:val="24"/>
              </w:rPr>
              <w:t>总之，该项目环保工程的投资是十分必要的，环保治理设施的建设能使企业污染物排放达到国家环保法律、法规规定的排放标准，减轻项目的建设、运营对周围环境的影响，具有明显的环境效益和社会效益，从环境保护及经济角度分析是合理的。</w:t>
            </w:r>
          </w:p>
          <w:p>
            <w:pPr>
              <w:snapToGrid w:val="0"/>
              <w:spacing w:line="360" w:lineRule="auto"/>
              <w:ind w:firstLine="482" w:firstLineChars="200"/>
              <w:outlineLvl w:val="0"/>
              <w:rPr>
                <w:b/>
                <w:bCs/>
                <w:color w:val="auto"/>
                <w:sz w:val="24"/>
              </w:rPr>
            </w:pPr>
            <w:r>
              <w:rPr>
                <w:rFonts w:hint="eastAsia"/>
                <w:b/>
                <w:bCs/>
                <w:color w:val="auto"/>
                <w:sz w:val="24"/>
              </w:rPr>
              <w:t>八</w:t>
            </w:r>
            <w:r>
              <w:rPr>
                <w:b/>
                <w:bCs/>
                <w:color w:val="auto"/>
                <w:sz w:val="24"/>
              </w:rPr>
              <w:t>、项目竣工环境保护设施验收</w:t>
            </w:r>
          </w:p>
          <w:p>
            <w:pPr>
              <w:autoSpaceDE w:val="0"/>
              <w:autoSpaceDN w:val="0"/>
              <w:adjustRightInd w:val="0"/>
              <w:spacing w:line="360" w:lineRule="auto"/>
              <w:ind w:firstLine="480" w:firstLineChars="200"/>
              <w:jc w:val="left"/>
              <w:rPr>
                <w:color w:val="auto"/>
                <w:kern w:val="0"/>
                <w:sz w:val="24"/>
              </w:rPr>
            </w:pPr>
            <w:r>
              <w:rPr>
                <w:color w:val="auto"/>
                <w:sz w:val="24"/>
                <w:szCs w:val="32"/>
              </w:rPr>
              <w:t>本项目建设要严格按照工程设计文件和环境影响报告表中的要求进行污染控制设施的做法，做到环保设施“三同时”，即环保设施与生产设施要同时设计、同时施工、同时投产使用，</w:t>
            </w:r>
            <w:r>
              <w:rPr>
                <w:color w:val="auto"/>
                <w:kern w:val="0"/>
                <w:sz w:val="24"/>
              </w:rPr>
              <w:t>建设项目的环境保护竣工验收一览表，见下表。</w:t>
            </w:r>
          </w:p>
          <w:p>
            <w:pPr>
              <w:autoSpaceDE w:val="0"/>
              <w:autoSpaceDN w:val="0"/>
              <w:adjustRightInd w:val="0"/>
              <w:ind w:firstLine="482" w:firstLineChars="200"/>
              <w:jc w:val="center"/>
              <w:rPr>
                <w:b/>
                <w:bCs/>
                <w:color w:val="auto"/>
                <w:kern w:val="0"/>
                <w:sz w:val="24"/>
              </w:rPr>
            </w:pPr>
            <w:r>
              <w:rPr>
                <w:b/>
                <w:bCs/>
                <w:color w:val="auto"/>
                <w:kern w:val="0"/>
                <w:sz w:val="24"/>
              </w:rPr>
              <w:t>表7-16环境保护竣工验收一览表</w:t>
            </w:r>
          </w:p>
          <w:tbl>
            <w:tblPr>
              <w:tblStyle w:val="29"/>
              <w:tblW w:w="954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789"/>
              <w:gridCol w:w="1134"/>
              <w:gridCol w:w="2407"/>
              <w:gridCol w:w="971"/>
              <w:gridCol w:w="1185"/>
              <w:gridCol w:w="155"/>
              <w:gridCol w:w="593"/>
              <w:gridCol w:w="7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类别</w:t>
                  </w:r>
                </w:p>
              </w:tc>
              <w:tc>
                <w:tcPr>
                  <w:tcW w:w="1789"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污染源</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污染物</w:t>
                  </w:r>
                </w:p>
              </w:tc>
              <w:tc>
                <w:tcPr>
                  <w:tcW w:w="3378" w:type="dxa"/>
                  <w:gridSpan w:val="2"/>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污染治理措施</w:t>
                  </w:r>
                </w:p>
              </w:tc>
              <w:tc>
                <w:tcPr>
                  <w:tcW w:w="2681" w:type="dxa"/>
                  <w:gridSpan w:val="4"/>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验收标准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p>
              </w:tc>
              <w:tc>
                <w:tcPr>
                  <w:tcW w:w="1789"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p>
              </w:tc>
              <w:tc>
                <w:tcPr>
                  <w:tcW w:w="3378" w:type="dxa"/>
                  <w:gridSpan w:val="2"/>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p>
              </w:tc>
              <w:tc>
                <w:tcPr>
                  <w:tcW w:w="1185"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标准名称</w:t>
                  </w:r>
                </w:p>
              </w:tc>
              <w:tc>
                <w:tcPr>
                  <w:tcW w:w="1496" w:type="dxa"/>
                  <w:gridSpan w:val="3"/>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b/>
                      <w:color w:val="auto"/>
                      <w:kern w:val="0"/>
                      <w:sz w:val="21"/>
                      <w:szCs w:val="21"/>
                    </w:rPr>
                  </w:pPr>
                  <w:r>
                    <w:rPr>
                      <w:rFonts w:cs="Times New Roman"/>
                      <w:b/>
                      <w:color w:val="auto"/>
                      <w:kern w:val="0"/>
                      <w:sz w:val="21"/>
                      <w:szCs w:val="21"/>
                    </w:rPr>
                    <w:t>验收要求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废气</w:t>
                  </w: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制砂生产线</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粉尘</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封闭性制砂车间，</w:t>
                  </w:r>
                  <w:r>
                    <w:rPr>
                      <w:rFonts w:hint="eastAsia" w:cs="Times New Roman"/>
                      <w:color w:val="auto"/>
                      <w:kern w:val="0"/>
                      <w:sz w:val="21"/>
                      <w:szCs w:val="21"/>
                    </w:rPr>
                    <w:t>布袋除尘器</w:t>
                  </w:r>
                </w:p>
              </w:tc>
              <w:tc>
                <w:tcPr>
                  <w:tcW w:w="1340" w:type="dxa"/>
                  <w:gridSpan w:val="2"/>
                  <w:tcBorders>
                    <w:top w:val="single" w:color="auto" w:sz="4" w:space="0"/>
                    <w:left w:val="single" w:color="auto" w:sz="4" w:space="0"/>
                    <w:right w:val="single" w:color="auto" w:sz="4" w:space="0"/>
                  </w:tcBorders>
                  <w:vAlign w:val="center"/>
                </w:tcPr>
                <w:p>
                  <w:pPr>
                    <w:pStyle w:val="68"/>
                    <w:snapToGrid w:val="0"/>
                    <w:ind w:firstLine="0" w:firstLineChars="0"/>
                    <w:rPr>
                      <w:rFonts w:cs="Times New Roman"/>
                      <w:color w:val="auto"/>
                      <w:kern w:val="0"/>
                      <w:sz w:val="21"/>
                      <w:szCs w:val="21"/>
                    </w:rPr>
                  </w:pPr>
                  <w:r>
                    <w:rPr>
                      <w:rFonts w:cs="Times New Roman"/>
                      <w:color w:val="auto"/>
                      <w:kern w:val="0"/>
                      <w:sz w:val="21"/>
                      <w:szCs w:val="21"/>
                    </w:rPr>
                    <w:t>《大气污染物排放限》（DB44/27-2001）</w:t>
                  </w:r>
                </w:p>
              </w:tc>
              <w:tc>
                <w:tcPr>
                  <w:tcW w:w="1341" w:type="dxa"/>
                  <w:gridSpan w:val="2"/>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颗粒物：</w:t>
                  </w:r>
                </w:p>
                <w:p>
                  <w:pPr>
                    <w:pStyle w:val="68"/>
                    <w:snapToGrid w:val="0"/>
                    <w:ind w:firstLine="0" w:firstLineChars="0"/>
                    <w:jc w:val="center"/>
                    <w:rPr>
                      <w:rFonts w:cs="Times New Roman"/>
                      <w:color w:val="auto"/>
                      <w:kern w:val="0"/>
                      <w:sz w:val="21"/>
                      <w:szCs w:val="21"/>
                    </w:rPr>
                  </w:pPr>
                  <w:r>
                    <w:rPr>
                      <w:rFonts w:cs="Times New Roman"/>
                      <w:color w:val="auto"/>
                      <w:kern w:val="0"/>
                      <w:sz w:val="21"/>
                      <w:szCs w:val="21"/>
                    </w:rPr>
                    <w:t>120mg/m3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tcPr>
                <w:p>
                  <w:pPr>
                    <w:jc w:val="center"/>
                    <w:rPr>
                      <w:color w:val="auto"/>
                    </w:rPr>
                  </w:pPr>
                  <w:r>
                    <w:rPr>
                      <w:color w:val="auto"/>
                    </w:rPr>
                    <w:t>砂场装卸扬尘</w:t>
                  </w:r>
                </w:p>
              </w:tc>
              <w:tc>
                <w:tcPr>
                  <w:tcW w:w="1134" w:type="dxa"/>
                  <w:tcBorders>
                    <w:top w:val="single" w:color="auto" w:sz="4" w:space="0"/>
                    <w:left w:val="single" w:color="auto" w:sz="4" w:space="0"/>
                    <w:bottom w:val="single" w:color="auto" w:sz="4" w:space="0"/>
                    <w:right w:val="single" w:color="auto" w:sz="4" w:space="0"/>
                  </w:tcBorders>
                </w:tcPr>
                <w:p>
                  <w:pPr>
                    <w:jc w:val="center"/>
                    <w:rPr>
                      <w:color w:val="auto"/>
                    </w:rPr>
                  </w:pPr>
                  <w:r>
                    <w:rPr>
                      <w:color w:val="auto"/>
                    </w:rPr>
                    <w:t>粉尘</w:t>
                  </w:r>
                </w:p>
              </w:tc>
              <w:tc>
                <w:tcPr>
                  <w:tcW w:w="3378" w:type="dxa"/>
                  <w:gridSpan w:val="2"/>
                  <w:tcBorders>
                    <w:top w:val="single" w:color="auto" w:sz="4" w:space="0"/>
                    <w:left w:val="single" w:color="auto" w:sz="4" w:space="0"/>
                    <w:bottom w:val="single" w:color="auto" w:sz="4" w:space="0"/>
                    <w:right w:val="single" w:color="auto" w:sz="4" w:space="0"/>
                  </w:tcBorders>
                </w:tcPr>
                <w:p>
                  <w:pPr>
                    <w:jc w:val="center"/>
                    <w:rPr>
                      <w:color w:val="auto"/>
                    </w:rPr>
                  </w:pPr>
                  <w:r>
                    <w:rPr>
                      <w:color w:val="auto"/>
                      <w:kern w:val="0"/>
                      <w:szCs w:val="21"/>
                    </w:rPr>
                    <w:t>三面围挡、顶棚</w:t>
                  </w:r>
                  <w:r>
                    <w:rPr>
                      <w:rFonts w:hint="eastAsia"/>
                      <w:color w:val="auto"/>
                      <w:kern w:val="0"/>
                      <w:szCs w:val="21"/>
                    </w:rPr>
                    <w:t>、</w:t>
                  </w:r>
                  <w:r>
                    <w:rPr>
                      <w:color w:val="auto"/>
                      <w:kern w:val="0"/>
                      <w:szCs w:val="21"/>
                    </w:rPr>
                    <w:t>喷淋洒水</w:t>
                  </w:r>
                </w:p>
              </w:tc>
              <w:tc>
                <w:tcPr>
                  <w:tcW w:w="1185" w:type="dxa"/>
                  <w:vMerge w:val="restart"/>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《水泥工业大气污染物排放标准》（GB4915-2013）</w:t>
                  </w:r>
                </w:p>
              </w:tc>
              <w:tc>
                <w:tcPr>
                  <w:tcW w:w="1496" w:type="dxa"/>
                  <w:gridSpan w:val="3"/>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颗粒物：10mg/m</w:t>
                  </w:r>
                  <w:r>
                    <w:rPr>
                      <w:rFonts w:cs="Times New Roman"/>
                      <w:color w:val="auto"/>
                      <w:kern w:val="0"/>
                      <w:sz w:val="21"/>
                      <w:szCs w:val="21"/>
                      <w:vertAlign w:val="superscript"/>
                    </w:rPr>
                    <w:t>3</w:t>
                  </w:r>
                </w:p>
                <w:p>
                  <w:pPr>
                    <w:pStyle w:val="68"/>
                    <w:snapToGrid w:val="0"/>
                    <w:ind w:firstLine="420"/>
                    <w:jc w:val="center"/>
                    <w:rPr>
                      <w:rFonts w:cs="Times New Roman"/>
                      <w:color w:val="auto"/>
                      <w:kern w:val="0"/>
                      <w:sz w:val="21"/>
                      <w:szCs w:val="21"/>
                    </w:rPr>
                  </w:pPr>
                </w:p>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厂界外20m下风向处颗粒物浓度限值为0.5mg/m</w:t>
                  </w:r>
                  <w:r>
                    <w:rPr>
                      <w:rFonts w:cs="Times New Roman"/>
                      <w:color w:val="auto"/>
                      <w:kern w:val="0"/>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sz w:val="21"/>
                      <w:szCs w:val="21"/>
                    </w:rPr>
                    <w:t>沙石计量投放</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粉尘</w:t>
                  </w:r>
                </w:p>
              </w:tc>
              <w:tc>
                <w:tcPr>
                  <w:tcW w:w="2407"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kern w:val="0"/>
                      <w:szCs w:val="21"/>
                    </w:rPr>
                  </w:pPr>
                  <w:r>
                    <w:rPr>
                      <w:color w:val="auto"/>
                      <w:szCs w:val="21"/>
                    </w:rPr>
                    <w:t>装卸料点上方以及料斗上方均设置水雾喷淋装置</w:t>
                  </w:r>
                </w:p>
              </w:tc>
              <w:tc>
                <w:tcPr>
                  <w:tcW w:w="971"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搅拌楼、筒仓采用全封闭维护结构</w:t>
                  </w:r>
                </w:p>
              </w:tc>
              <w:tc>
                <w:tcPr>
                  <w:tcW w:w="1185" w:type="dxa"/>
                  <w:vMerge w:val="continue"/>
                  <w:tcBorders>
                    <w:left w:val="single" w:color="auto" w:sz="4" w:space="0"/>
                    <w:right w:val="single" w:color="auto" w:sz="4" w:space="0"/>
                  </w:tcBorders>
                  <w:vAlign w:val="center"/>
                </w:tcPr>
                <w:p>
                  <w:pPr>
                    <w:pStyle w:val="68"/>
                    <w:snapToGrid w:val="0"/>
                    <w:ind w:firstLine="420"/>
                    <w:jc w:val="center"/>
                    <w:rPr>
                      <w:rFonts w:cs="Times New Roman"/>
                      <w:color w:val="auto"/>
                      <w:kern w:val="0"/>
                      <w:sz w:val="21"/>
                      <w:szCs w:val="21"/>
                    </w:rPr>
                  </w:pPr>
                </w:p>
              </w:tc>
              <w:tc>
                <w:tcPr>
                  <w:tcW w:w="1496" w:type="dxa"/>
                  <w:gridSpan w:val="3"/>
                  <w:vMerge w:val="continue"/>
                  <w:tcBorders>
                    <w:left w:val="single" w:color="auto" w:sz="4" w:space="0"/>
                    <w:right w:val="single" w:color="auto" w:sz="4" w:space="0"/>
                  </w:tcBorders>
                  <w:vAlign w:val="center"/>
                </w:tcPr>
                <w:p>
                  <w:pPr>
                    <w:pStyle w:val="68"/>
                    <w:snapToGrid w:val="0"/>
                    <w:ind w:firstLine="42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sz w:val="21"/>
                      <w:szCs w:val="21"/>
                    </w:rPr>
                  </w:pPr>
                  <w:r>
                    <w:rPr>
                      <w:rFonts w:cs="Times New Roman"/>
                      <w:color w:val="auto"/>
                      <w:kern w:val="0"/>
                      <w:sz w:val="21"/>
                      <w:szCs w:val="21"/>
                    </w:rPr>
                    <w:t>筒仓（8个）</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sz w:val="21"/>
                      <w:szCs w:val="21"/>
                    </w:rPr>
                  </w:pPr>
                  <w:r>
                    <w:rPr>
                      <w:rFonts w:cs="Times New Roman"/>
                      <w:color w:val="auto"/>
                      <w:kern w:val="0"/>
                      <w:sz w:val="21"/>
                      <w:szCs w:val="21"/>
                    </w:rPr>
                    <w:t>粉尘</w:t>
                  </w:r>
                </w:p>
              </w:tc>
              <w:tc>
                <w:tcPr>
                  <w:tcW w:w="2407" w:type="dxa"/>
                  <w:tcBorders>
                    <w:top w:val="single" w:color="auto" w:sz="4" w:space="0"/>
                    <w:left w:val="single" w:color="auto" w:sz="4" w:space="0"/>
                    <w:bottom w:val="single" w:color="auto" w:sz="4" w:space="0"/>
                    <w:right w:val="single" w:color="auto" w:sz="4" w:space="0"/>
                  </w:tcBorders>
                  <w:vAlign w:val="center"/>
                </w:tcPr>
                <w:p>
                  <w:pPr>
                    <w:snapToGrid w:val="0"/>
                    <w:jc w:val="center"/>
                    <w:rPr>
                      <w:color w:val="auto"/>
                      <w:kern w:val="0"/>
                      <w:szCs w:val="21"/>
                    </w:rPr>
                  </w:pPr>
                  <w:r>
                    <w:rPr>
                      <w:color w:val="auto"/>
                      <w:szCs w:val="21"/>
                    </w:rPr>
                    <w:t>水泥筒库粉尘各设置一台单机脉冲滤芯除尘器</w:t>
                  </w:r>
                </w:p>
              </w:tc>
              <w:tc>
                <w:tcPr>
                  <w:tcW w:w="971"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185"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496" w:type="dxa"/>
                  <w:gridSpan w:val="3"/>
                  <w:vMerge w:val="continue"/>
                  <w:tcBorders>
                    <w:left w:val="single" w:color="auto" w:sz="4" w:space="0"/>
                    <w:right w:val="single" w:color="auto" w:sz="4" w:space="0"/>
                  </w:tcBorders>
                  <w:vAlign w:val="center"/>
                </w:tcPr>
                <w:p>
                  <w:pPr>
                    <w:pStyle w:val="68"/>
                    <w:snapToGrid w:val="0"/>
                    <w:ind w:firstLine="42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搅拌过程</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粉尘</w:t>
                  </w:r>
                </w:p>
              </w:tc>
              <w:tc>
                <w:tcPr>
                  <w:tcW w:w="2407"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袋式除尘器对粉尘进行净化处理</w:t>
                  </w:r>
                </w:p>
              </w:tc>
              <w:tc>
                <w:tcPr>
                  <w:tcW w:w="971"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185"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496" w:type="dxa"/>
                  <w:gridSpan w:val="3"/>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运输车辆动力起尘</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粉尘</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地面定时洒水</w:t>
                  </w:r>
                  <w:r>
                    <w:rPr>
                      <w:rFonts w:cs="Times New Roman"/>
                      <w:color w:val="auto"/>
                      <w:sz w:val="21"/>
                      <w:szCs w:val="21"/>
                    </w:rPr>
                    <w:t>场内配套除尘雾泡机抑尘</w:t>
                  </w:r>
                  <w:r>
                    <w:rPr>
                      <w:rFonts w:cs="Times New Roman"/>
                      <w:color w:val="auto"/>
                      <w:kern w:val="0"/>
                      <w:sz w:val="21"/>
                      <w:szCs w:val="21"/>
                    </w:rPr>
                    <w:t>，降低运输速度，冲洗车辆轮胎</w:t>
                  </w:r>
                </w:p>
              </w:tc>
              <w:tc>
                <w:tcPr>
                  <w:tcW w:w="1185"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496" w:type="dxa"/>
                  <w:gridSpan w:val="3"/>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r>
                    <w:rPr>
                      <w:rFonts w:hint="eastAsia" w:cs="Times New Roman"/>
                      <w:color w:val="auto"/>
                      <w:kern w:val="0"/>
                      <w:sz w:val="21"/>
                      <w:szCs w:val="21"/>
                    </w:rPr>
                    <w:t>备</w:t>
                  </w:r>
                  <w:r>
                    <w:rPr>
                      <w:rFonts w:cs="Times New Roman"/>
                      <w:color w:val="auto"/>
                      <w:kern w:val="0"/>
                      <w:sz w:val="21"/>
                      <w:szCs w:val="21"/>
                    </w:rPr>
                    <w:t>用发电机废气</w:t>
                  </w:r>
                </w:p>
              </w:tc>
              <w:tc>
                <w:tcPr>
                  <w:tcW w:w="1134" w:type="dxa"/>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SO</w:t>
                  </w:r>
                  <w:r>
                    <w:rPr>
                      <w:rFonts w:hint="eastAsia" w:cs="Times New Roman"/>
                      <w:color w:val="auto"/>
                      <w:kern w:val="0"/>
                      <w:sz w:val="21"/>
                      <w:szCs w:val="21"/>
                      <w:vertAlign w:val="subscript"/>
                    </w:rPr>
                    <w:t>2</w:t>
                  </w:r>
                  <w:r>
                    <w:rPr>
                      <w:rFonts w:hint="eastAsia" w:cs="Times New Roman"/>
                      <w:color w:val="auto"/>
                      <w:kern w:val="0"/>
                      <w:sz w:val="21"/>
                      <w:szCs w:val="21"/>
                    </w:rPr>
                    <w:t>、CO、NO</w:t>
                  </w:r>
                  <w:r>
                    <w:rPr>
                      <w:rFonts w:hint="eastAsia" w:cs="Times New Roman"/>
                      <w:color w:val="auto"/>
                      <w:kern w:val="0"/>
                      <w:sz w:val="21"/>
                      <w:szCs w:val="21"/>
                      <w:vertAlign w:val="subscript"/>
                    </w:rPr>
                    <w:t>X</w:t>
                  </w:r>
                  <w:r>
                    <w:rPr>
                      <w:rFonts w:hint="eastAsia" w:cs="Times New Roman"/>
                      <w:color w:val="auto"/>
                      <w:kern w:val="0"/>
                      <w:sz w:val="21"/>
                      <w:szCs w:val="21"/>
                    </w:rPr>
                    <w:t>、烟尘</w:t>
                  </w:r>
                </w:p>
              </w:tc>
              <w:tc>
                <w:tcPr>
                  <w:tcW w:w="3378" w:type="dxa"/>
                  <w:gridSpan w:val="2"/>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碱喷淋装置处理后高空排放</w:t>
                  </w:r>
                </w:p>
              </w:tc>
              <w:tc>
                <w:tcPr>
                  <w:tcW w:w="1185" w:type="dxa"/>
                  <w:vMerge w:val="restart"/>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《大气污染物排放限值》（DB44/27-2001）</w:t>
                  </w:r>
                </w:p>
              </w:tc>
              <w:tc>
                <w:tcPr>
                  <w:tcW w:w="748" w:type="dxa"/>
                  <w:gridSpan w:val="2"/>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SO</w:t>
                  </w:r>
                  <w:r>
                    <w:rPr>
                      <w:rFonts w:hint="eastAsia" w:cs="Times New Roman"/>
                      <w:color w:val="auto"/>
                      <w:kern w:val="0"/>
                      <w:sz w:val="21"/>
                      <w:szCs w:val="21"/>
                      <w:vertAlign w:val="subscript"/>
                    </w:rPr>
                    <w:t>2</w:t>
                  </w:r>
                </w:p>
              </w:tc>
              <w:tc>
                <w:tcPr>
                  <w:tcW w:w="748" w:type="dxa"/>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34"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3378" w:type="dxa"/>
                  <w:gridSpan w:val="2"/>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85"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748" w:type="dxa"/>
                  <w:gridSpan w:val="2"/>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NO</w:t>
                  </w:r>
                  <w:r>
                    <w:rPr>
                      <w:rFonts w:hint="eastAsia" w:cs="Times New Roman"/>
                      <w:color w:val="auto"/>
                      <w:kern w:val="0"/>
                      <w:sz w:val="21"/>
                      <w:szCs w:val="21"/>
                      <w:vertAlign w:val="subscript"/>
                    </w:rPr>
                    <w:t>X</w:t>
                  </w:r>
                </w:p>
              </w:tc>
              <w:tc>
                <w:tcPr>
                  <w:tcW w:w="748" w:type="dxa"/>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67" w:type="dxa"/>
                  <w:vMerge w:val="continue"/>
                  <w:tcBorders>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34"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3378" w:type="dxa"/>
                  <w:gridSpan w:val="2"/>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85" w:type="dxa"/>
                  <w:vMerge w:val="continue"/>
                  <w:tcBorders>
                    <w:left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748" w:type="dxa"/>
                  <w:gridSpan w:val="2"/>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烟尘</w:t>
                  </w:r>
                </w:p>
              </w:tc>
              <w:tc>
                <w:tcPr>
                  <w:tcW w:w="748" w:type="dxa"/>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567"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34"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3378" w:type="dxa"/>
                  <w:gridSpan w:val="2"/>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1185"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hint="eastAsia" w:cs="Times New Roman"/>
                      <w:color w:val="auto"/>
                      <w:kern w:val="0"/>
                      <w:sz w:val="21"/>
                      <w:szCs w:val="21"/>
                    </w:rPr>
                  </w:pPr>
                </w:p>
              </w:tc>
              <w:tc>
                <w:tcPr>
                  <w:tcW w:w="748" w:type="dxa"/>
                  <w:gridSpan w:val="2"/>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CO</w:t>
                  </w:r>
                </w:p>
              </w:tc>
              <w:tc>
                <w:tcPr>
                  <w:tcW w:w="748" w:type="dxa"/>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2" w:hRule="atLeast"/>
              </w:trPr>
              <w:tc>
                <w:tcPr>
                  <w:tcW w:w="567"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水污染物</w:t>
                  </w: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生产</w:t>
                  </w:r>
                  <w:r>
                    <w:rPr>
                      <w:rFonts w:cs="Times New Roman"/>
                      <w:color w:val="auto"/>
                      <w:kern w:val="0"/>
                      <w:sz w:val="21"/>
                      <w:szCs w:val="21"/>
                    </w:rPr>
                    <w:t>废水</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SS</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四</w:t>
                  </w:r>
                  <w:r>
                    <w:rPr>
                      <w:rFonts w:cs="Times New Roman"/>
                      <w:color w:val="auto"/>
                      <w:kern w:val="0"/>
                      <w:sz w:val="21"/>
                      <w:szCs w:val="21"/>
                    </w:rPr>
                    <w:t>级</w:t>
                  </w:r>
                  <w:r>
                    <w:rPr>
                      <w:rFonts w:hint="eastAsia" w:cs="Times New Roman"/>
                      <w:color w:val="auto"/>
                      <w:kern w:val="0"/>
                      <w:sz w:val="21"/>
                      <w:szCs w:val="21"/>
                    </w:rPr>
                    <w:t>沉淀</w:t>
                  </w:r>
                  <w:r>
                    <w:rPr>
                      <w:rFonts w:cs="Times New Roman"/>
                      <w:color w:val="auto"/>
                      <w:kern w:val="0"/>
                      <w:sz w:val="21"/>
                      <w:szCs w:val="21"/>
                    </w:rPr>
                    <w:t>处理系统</w:t>
                  </w:r>
                </w:p>
              </w:tc>
              <w:tc>
                <w:tcPr>
                  <w:tcW w:w="1185"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w:t>
                  </w:r>
                </w:p>
              </w:tc>
              <w:tc>
                <w:tcPr>
                  <w:tcW w:w="1496" w:type="dxa"/>
                  <w:gridSpan w:val="3"/>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生活污水</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COD、NH</w:t>
                  </w:r>
                  <w:r>
                    <w:rPr>
                      <w:rFonts w:cs="Times New Roman"/>
                      <w:color w:val="auto"/>
                      <w:kern w:val="0"/>
                      <w:sz w:val="21"/>
                      <w:szCs w:val="21"/>
                      <w:vertAlign w:val="subscript"/>
                    </w:rPr>
                    <w:t>3</w:t>
                  </w:r>
                  <w:r>
                    <w:rPr>
                      <w:rFonts w:cs="Times New Roman"/>
                      <w:color w:val="auto"/>
                      <w:kern w:val="0"/>
                      <w:sz w:val="21"/>
                      <w:szCs w:val="21"/>
                    </w:rPr>
                    <w:t>-N等</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地埋式一</w:t>
                  </w:r>
                  <w:r>
                    <w:rPr>
                      <w:rFonts w:cs="Times New Roman"/>
                      <w:color w:val="auto"/>
                      <w:kern w:val="0"/>
                      <w:sz w:val="21"/>
                      <w:szCs w:val="21"/>
                    </w:rPr>
                    <w:t>体化</w:t>
                  </w:r>
                  <w:r>
                    <w:rPr>
                      <w:rFonts w:hint="eastAsia" w:cs="Times New Roman"/>
                      <w:color w:val="auto"/>
                      <w:kern w:val="0"/>
                      <w:sz w:val="21"/>
                      <w:szCs w:val="21"/>
                    </w:rPr>
                    <w:t>污水处理设施，设置</w:t>
                  </w:r>
                  <w:r>
                    <w:rPr>
                      <w:rFonts w:cs="Times New Roman"/>
                      <w:color w:val="auto"/>
                      <w:kern w:val="0"/>
                      <w:sz w:val="21"/>
                      <w:szCs w:val="21"/>
                    </w:rPr>
                    <w:t>一个约</w:t>
                  </w:r>
                  <w:r>
                    <w:rPr>
                      <w:rFonts w:hint="eastAsia" w:cs="Times New Roman"/>
                      <w:color w:val="auto"/>
                      <w:kern w:val="0"/>
                      <w:sz w:val="21"/>
                      <w:szCs w:val="21"/>
                    </w:rPr>
                    <w:t>5</w:t>
                  </w:r>
                  <w:r>
                    <w:rPr>
                      <w:rFonts w:cs="Times New Roman"/>
                      <w:color w:val="auto"/>
                      <w:kern w:val="0"/>
                      <w:sz w:val="21"/>
                      <w:szCs w:val="21"/>
                    </w:rPr>
                    <w:t>m</w:t>
                  </w:r>
                  <w:r>
                    <w:rPr>
                      <w:rFonts w:cs="Times New Roman"/>
                      <w:color w:val="auto"/>
                      <w:kern w:val="0"/>
                      <w:sz w:val="21"/>
                      <w:szCs w:val="21"/>
                      <w:vertAlign w:val="superscript"/>
                    </w:rPr>
                    <w:t>3</w:t>
                  </w:r>
                  <w:r>
                    <w:rPr>
                      <w:rFonts w:hint="eastAsia" w:cs="Times New Roman"/>
                      <w:color w:val="auto"/>
                      <w:kern w:val="0"/>
                      <w:sz w:val="21"/>
                      <w:szCs w:val="21"/>
                    </w:rPr>
                    <w:t>的</w:t>
                  </w:r>
                  <w:r>
                    <w:rPr>
                      <w:rFonts w:cs="Times New Roman"/>
                      <w:color w:val="auto"/>
                      <w:kern w:val="0"/>
                      <w:sz w:val="21"/>
                      <w:szCs w:val="21"/>
                    </w:rPr>
                    <w:t>生活污水</w:t>
                  </w:r>
                  <w:r>
                    <w:rPr>
                      <w:rFonts w:hint="eastAsia" w:cs="Times New Roman"/>
                      <w:color w:val="auto"/>
                      <w:kern w:val="0"/>
                      <w:sz w:val="21"/>
                      <w:szCs w:val="21"/>
                    </w:rPr>
                    <w:t>暂</w:t>
                  </w:r>
                  <w:r>
                    <w:rPr>
                      <w:rFonts w:cs="Times New Roman"/>
                      <w:color w:val="auto"/>
                      <w:kern w:val="0"/>
                      <w:sz w:val="21"/>
                      <w:szCs w:val="21"/>
                    </w:rPr>
                    <w:t>存池。</w:t>
                  </w:r>
                </w:p>
              </w:tc>
              <w:tc>
                <w:tcPr>
                  <w:tcW w:w="1185"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《城市污水再生利用</w:t>
                  </w:r>
                  <w:r>
                    <w:rPr>
                      <w:rFonts w:cs="Times New Roman"/>
                      <w:color w:val="auto"/>
                      <w:kern w:val="0"/>
                      <w:sz w:val="21"/>
                      <w:szCs w:val="21"/>
                    </w:rPr>
                    <w:t> </w:t>
                  </w:r>
                  <w:r>
                    <w:rPr>
                      <w:rFonts w:hint="eastAsia" w:cs="Times New Roman"/>
                      <w:color w:val="auto"/>
                      <w:kern w:val="0"/>
                      <w:sz w:val="21"/>
                      <w:szCs w:val="21"/>
                    </w:rPr>
                    <w:t>城市杂用水水质》（</w:t>
                  </w:r>
                  <w:r>
                    <w:rPr>
                      <w:rFonts w:cs="Times New Roman"/>
                      <w:color w:val="auto"/>
                      <w:kern w:val="0"/>
                      <w:sz w:val="21"/>
                      <w:szCs w:val="21"/>
                    </w:rPr>
                    <w:t>GB/T18920-2002</w:t>
                  </w:r>
                  <w:r>
                    <w:rPr>
                      <w:rFonts w:hint="eastAsia" w:cs="Times New Roman"/>
                      <w:color w:val="auto"/>
                      <w:kern w:val="0"/>
                      <w:sz w:val="21"/>
                      <w:szCs w:val="21"/>
                    </w:rPr>
                    <w:t>）中绿化用水标准</w:t>
                  </w:r>
                </w:p>
              </w:tc>
              <w:tc>
                <w:tcPr>
                  <w:tcW w:w="1496" w:type="dxa"/>
                  <w:gridSpan w:val="3"/>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BOD</w:t>
                  </w:r>
                  <w:r>
                    <w:rPr>
                      <w:rFonts w:cs="Times New Roman"/>
                      <w:color w:val="auto"/>
                      <w:kern w:val="0"/>
                      <w:sz w:val="21"/>
                      <w:szCs w:val="21"/>
                      <w:vertAlign w:val="subscript"/>
                    </w:rPr>
                    <w:t>5</w:t>
                  </w:r>
                  <w:r>
                    <w:rPr>
                      <w:rFonts w:cs="Times New Roman"/>
                      <w:color w:val="auto"/>
                      <w:kern w:val="0"/>
                      <w:sz w:val="21"/>
                      <w:szCs w:val="21"/>
                    </w:rPr>
                    <w:t>、NH</w:t>
                  </w:r>
                  <w:r>
                    <w:rPr>
                      <w:rFonts w:cs="Times New Roman"/>
                      <w:color w:val="auto"/>
                      <w:kern w:val="0"/>
                      <w:sz w:val="21"/>
                      <w:szCs w:val="21"/>
                      <w:vertAlign w:val="subscript"/>
                    </w:rPr>
                    <w:t>3</w:t>
                  </w:r>
                  <w:r>
                    <w:rPr>
                      <w:rFonts w:cs="Times New Roman"/>
                      <w:color w:val="auto"/>
                      <w:kern w:val="0"/>
                      <w:sz w:val="21"/>
                      <w:szCs w:val="21"/>
                    </w:rPr>
                    <w:t>-N等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固体污染物</w:t>
                  </w: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sz w:val="21"/>
                      <w:szCs w:val="21"/>
                    </w:rPr>
                    <w:t>废混凝土试验块</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废混凝土块</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sz w:val="21"/>
                      <w:szCs w:val="21"/>
                    </w:rPr>
                    <w:t>破碎</w:t>
                  </w:r>
                  <w:r>
                    <w:rPr>
                      <w:rFonts w:cs="Times New Roman"/>
                      <w:color w:val="auto"/>
                      <w:sz w:val="21"/>
                      <w:szCs w:val="21"/>
                    </w:rPr>
                    <w:t>后回用于生产</w:t>
                  </w:r>
                </w:p>
              </w:tc>
              <w:tc>
                <w:tcPr>
                  <w:tcW w:w="2681" w:type="dxa"/>
                  <w:gridSpan w:val="4"/>
                  <w:vMerge w:val="restart"/>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《一般工业固体废物贮存、处置场污染控制标准》（GB18599-2001）及其2013年修改单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sz w:val="21"/>
                      <w:szCs w:val="21"/>
                    </w:rPr>
                  </w:pPr>
                  <w:r>
                    <w:rPr>
                      <w:rFonts w:hint="eastAsia" w:cs="Times New Roman"/>
                      <w:color w:val="auto"/>
                      <w:sz w:val="21"/>
                      <w:szCs w:val="21"/>
                    </w:rPr>
                    <w:t>搅拌</w:t>
                  </w:r>
                  <w:r>
                    <w:rPr>
                      <w:rFonts w:cs="Times New Roman"/>
                      <w:color w:val="auto"/>
                      <w:sz w:val="21"/>
                      <w:szCs w:val="21"/>
                    </w:rPr>
                    <w:t>机、运输车辆</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sz w:val="21"/>
                      <w:szCs w:val="21"/>
                    </w:rPr>
                    <w:t>残留混</w:t>
                  </w:r>
                  <w:r>
                    <w:rPr>
                      <w:rFonts w:cs="Times New Roman"/>
                      <w:color w:val="auto"/>
                      <w:sz w:val="21"/>
                      <w:szCs w:val="21"/>
                    </w:rPr>
                    <w:t>凝土</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sz w:val="21"/>
                      <w:szCs w:val="21"/>
                    </w:rPr>
                  </w:pPr>
                  <w:r>
                    <w:rPr>
                      <w:rFonts w:hint="eastAsia" w:cs="Times New Roman"/>
                      <w:color w:val="auto"/>
                      <w:sz w:val="21"/>
                      <w:szCs w:val="21"/>
                    </w:rPr>
                    <w:t>砂</w:t>
                  </w:r>
                  <w:r>
                    <w:rPr>
                      <w:rFonts w:cs="Times New Roman"/>
                      <w:color w:val="auto"/>
                      <w:sz w:val="21"/>
                      <w:szCs w:val="21"/>
                    </w:rPr>
                    <w:t>石分离机处理后回</w:t>
                  </w:r>
                  <w:r>
                    <w:rPr>
                      <w:rFonts w:hint="eastAsia" w:cs="Times New Roman"/>
                      <w:color w:val="auto"/>
                      <w:sz w:val="21"/>
                      <w:szCs w:val="21"/>
                    </w:rPr>
                    <w:t>用</w:t>
                  </w:r>
                  <w:r>
                    <w:rPr>
                      <w:rFonts w:cs="Times New Roman"/>
                      <w:color w:val="auto"/>
                      <w:sz w:val="21"/>
                      <w:szCs w:val="21"/>
                    </w:rPr>
                    <w:t>于生产</w:t>
                  </w:r>
                </w:p>
              </w:tc>
              <w:tc>
                <w:tcPr>
                  <w:tcW w:w="2681" w:type="dxa"/>
                  <w:gridSpan w:val="4"/>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restart"/>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除尘器</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搅拌生产线</w:t>
                  </w:r>
                  <w:r>
                    <w:rPr>
                      <w:rFonts w:cs="Times New Roman"/>
                      <w:color w:val="auto"/>
                      <w:kern w:val="0"/>
                      <w:sz w:val="21"/>
                      <w:szCs w:val="21"/>
                    </w:rPr>
                    <w:t>粉尘</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收集后返回生产系统</w:t>
                  </w:r>
                </w:p>
              </w:tc>
              <w:tc>
                <w:tcPr>
                  <w:tcW w:w="2681" w:type="dxa"/>
                  <w:gridSpan w:val="4"/>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vMerge w:val="continue"/>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制砂生产线</w:t>
                  </w:r>
                  <w:r>
                    <w:rPr>
                      <w:rFonts w:cs="Times New Roman"/>
                      <w:color w:val="auto"/>
                      <w:kern w:val="0"/>
                      <w:sz w:val="21"/>
                      <w:szCs w:val="21"/>
                    </w:rPr>
                    <w:t>石粉</w:t>
                  </w:r>
                  <w:r>
                    <w:rPr>
                      <w:rFonts w:hint="eastAsia" w:cs="Times New Roman"/>
                      <w:color w:val="auto"/>
                      <w:kern w:val="0"/>
                      <w:sz w:val="21"/>
                      <w:szCs w:val="21"/>
                    </w:rPr>
                    <w:t>（粉尘）</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外售砖厂制砖</w:t>
                  </w:r>
                </w:p>
              </w:tc>
              <w:tc>
                <w:tcPr>
                  <w:tcW w:w="2681" w:type="dxa"/>
                  <w:gridSpan w:val="4"/>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沉淀池</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沉渣</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回用</w:t>
                  </w:r>
                  <w:r>
                    <w:rPr>
                      <w:rFonts w:cs="Times New Roman"/>
                      <w:color w:val="auto"/>
                      <w:kern w:val="0"/>
                      <w:sz w:val="21"/>
                      <w:szCs w:val="21"/>
                    </w:rPr>
                    <w:t>于生产</w:t>
                  </w:r>
                </w:p>
              </w:tc>
              <w:tc>
                <w:tcPr>
                  <w:tcW w:w="2681" w:type="dxa"/>
                  <w:gridSpan w:val="4"/>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c>
                <w:tcPr>
                  <w:tcW w:w="1789"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工作人员</w:t>
                  </w:r>
                </w:p>
              </w:tc>
              <w:tc>
                <w:tcPr>
                  <w:tcW w:w="1134"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生活垃圾</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定期交由当地环卫部门处理</w:t>
                  </w:r>
                </w:p>
              </w:tc>
              <w:tc>
                <w:tcPr>
                  <w:tcW w:w="2681" w:type="dxa"/>
                  <w:gridSpan w:val="4"/>
                  <w:vMerge w:val="continue"/>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噪声</w:t>
                  </w:r>
                </w:p>
              </w:tc>
              <w:tc>
                <w:tcPr>
                  <w:tcW w:w="2923"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破碎机、搅拌站、运输车辆、装载机、物料传输装置等</w:t>
                  </w:r>
                </w:p>
              </w:tc>
              <w:tc>
                <w:tcPr>
                  <w:tcW w:w="3378" w:type="dxa"/>
                  <w:gridSpan w:val="2"/>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选用低噪声设备，合理布局，并采取隔声、减振措施，</w:t>
                  </w:r>
                  <w:r>
                    <w:rPr>
                      <w:rFonts w:cs="Times New Roman"/>
                      <w:color w:val="auto"/>
                      <w:kern w:val="0"/>
                      <w:sz w:val="21"/>
                      <w:szCs w:val="16"/>
                    </w:rPr>
                    <w:t>在厂界边界设置有砖砌实体围墙、种植树木、设置绿化带</w:t>
                  </w:r>
                </w:p>
              </w:tc>
              <w:tc>
                <w:tcPr>
                  <w:tcW w:w="1185" w:type="dxa"/>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《工业企业厂界噪声排放标准》（GB12348-2008）中的2类标准</w:t>
                  </w:r>
                </w:p>
              </w:tc>
              <w:tc>
                <w:tcPr>
                  <w:tcW w:w="1496" w:type="dxa"/>
                  <w:gridSpan w:val="3"/>
                  <w:tcBorders>
                    <w:top w:val="single" w:color="auto" w:sz="4" w:space="0"/>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2类标准：昼间≤60dB(A)</w:t>
                  </w:r>
                </w:p>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夜间≤50dB(A)</w:t>
                  </w:r>
                </w:p>
                <w:p>
                  <w:pPr>
                    <w:pStyle w:val="68"/>
                    <w:snapToGrid w:val="0"/>
                    <w:ind w:firstLine="0" w:firstLineChars="0"/>
                    <w:jc w:val="center"/>
                    <w:rPr>
                      <w:rFonts w:cs="Times New Roman"/>
                      <w:color w:val="auto"/>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3490" w:type="dxa"/>
                  <w:gridSpan w:val="3"/>
                  <w:tcBorders>
                    <w:left w:val="single" w:color="auto" w:sz="4" w:space="0"/>
                    <w:bottom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hint="eastAsia" w:cs="Times New Roman"/>
                      <w:color w:val="auto"/>
                      <w:kern w:val="0"/>
                      <w:sz w:val="21"/>
                      <w:szCs w:val="21"/>
                    </w:rPr>
                    <w:t>其他</w:t>
                  </w:r>
                </w:p>
              </w:tc>
              <w:tc>
                <w:tcPr>
                  <w:tcW w:w="3378" w:type="dxa"/>
                  <w:gridSpan w:val="2"/>
                  <w:tcBorders>
                    <w:top w:val="single" w:color="auto" w:sz="4" w:space="0"/>
                    <w:left w:val="single" w:color="auto" w:sz="4" w:space="0"/>
                    <w:right w:val="single" w:color="auto" w:sz="4" w:space="0"/>
                  </w:tcBorders>
                  <w:vAlign w:val="center"/>
                </w:tcPr>
                <w:p>
                  <w:pPr>
                    <w:adjustRightInd w:val="0"/>
                    <w:snapToGrid w:val="0"/>
                    <w:jc w:val="center"/>
                    <w:rPr>
                      <w:color w:val="auto"/>
                      <w:kern w:val="0"/>
                      <w:szCs w:val="21"/>
                    </w:rPr>
                  </w:pPr>
                  <w:r>
                    <w:rPr>
                      <w:color w:val="auto"/>
                      <w:kern w:val="0"/>
                      <w:szCs w:val="21"/>
                    </w:rPr>
                    <w:t>须制订环保管理制度</w:t>
                  </w:r>
                  <w:r>
                    <w:rPr>
                      <w:rFonts w:hint="eastAsia"/>
                      <w:color w:val="auto"/>
                      <w:kern w:val="0"/>
                      <w:szCs w:val="21"/>
                    </w:rPr>
                    <w:t>，</w:t>
                  </w:r>
                  <w:r>
                    <w:rPr>
                      <w:color w:val="auto"/>
                      <w:kern w:val="0"/>
                      <w:szCs w:val="21"/>
                    </w:rPr>
                    <w:t>设置一个约</w:t>
                  </w:r>
                  <w:r>
                    <w:rPr>
                      <w:rFonts w:hint="eastAsia"/>
                      <w:color w:val="auto"/>
                      <w:kern w:val="0"/>
                      <w:szCs w:val="21"/>
                    </w:rPr>
                    <w:t>20</w:t>
                  </w:r>
                  <w:r>
                    <w:rPr>
                      <w:color w:val="auto"/>
                      <w:kern w:val="0"/>
                      <w:szCs w:val="21"/>
                    </w:rPr>
                    <w:t>m</w:t>
                  </w:r>
                  <w:r>
                    <w:rPr>
                      <w:color w:val="auto"/>
                      <w:kern w:val="0"/>
                      <w:szCs w:val="21"/>
                      <w:vertAlign w:val="superscript"/>
                    </w:rPr>
                    <w:t>3</w:t>
                  </w:r>
                  <w:r>
                    <w:rPr>
                      <w:rFonts w:hint="eastAsia"/>
                      <w:color w:val="auto"/>
                      <w:kern w:val="0"/>
                      <w:szCs w:val="21"/>
                    </w:rPr>
                    <w:t>的</w:t>
                  </w:r>
                  <w:r>
                    <w:rPr>
                      <w:color w:val="auto"/>
                      <w:kern w:val="0"/>
                      <w:szCs w:val="21"/>
                    </w:rPr>
                    <w:t>事故应急池。</w:t>
                  </w:r>
                </w:p>
              </w:tc>
              <w:tc>
                <w:tcPr>
                  <w:tcW w:w="2681" w:type="dxa"/>
                  <w:gridSpan w:val="4"/>
                  <w:tcBorders>
                    <w:top w:val="single" w:color="auto" w:sz="4" w:space="0"/>
                    <w:left w:val="single" w:color="auto" w:sz="4" w:space="0"/>
                    <w:right w:val="single" w:color="auto" w:sz="4" w:space="0"/>
                  </w:tcBorders>
                  <w:vAlign w:val="center"/>
                </w:tcPr>
                <w:p>
                  <w:pPr>
                    <w:pStyle w:val="68"/>
                    <w:snapToGrid w:val="0"/>
                    <w:ind w:firstLine="0" w:firstLineChars="0"/>
                    <w:jc w:val="center"/>
                    <w:rPr>
                      <w:rFonts w:cs="Times New Roman"/>
                      <w:color w:val="auto"/>
                      <w:kern w:val="0"/>
                      <w:sz w:val="21"/>
                      <w:szCs w:val="21"/>
                    </w:rPr>
                  </w:pPr>
                  <w:r>
                    <w:rPr>
                      <w:rFonts w:cs="Times New Roman"/>
                      <w:color w:val="auto"/>
                      <w:kern w:val="0"/>
                      <w:sz w:val="21"/>
                      <w:szCs w:val="21"/>
                    </w:rPr>
                    <w:t>制订环保管理制度，且认真落实</w:t>
                  </w:r>
                </w:p>
              </w:tc>
            </w:tr>
          </w:tbl>
          <w:p>
            <w:pPr>
              <w:pStyle w:val="2"/>
              <w:ind w:firstLine="0" w:firstLineChars="0"/>
              <w:rPr>
                <w:color w:val="auto"/>
              </w:rPr>
            </w:pPr>
          </w:p>
        </w:tc>
      </w:tr>
    </w:tbl>
    <w:p>
      <w:pPr>
        <w:pStyle w:val="3"/>
        <w:spacing w:line="360" w:lineRule="auto"/>
        <w:jc w:val="both"/>
        <w:rPr>
          <w:bCs/>
          <w:color w:val="auto"/>
          <w:kern w:val="44"/>
          <w:sz w:val="30"/>
          <w:szCs w:val="30"/>
        </w:rPr>
      </w:pPr>
      <w:r>
        <w:rPr>
          <w:b/>
          <w:bCs/>
          <w:color w:val="auto"/>
          <w:kern w:val="44"/>
          <w:sz w:val="30"/>
          <w:szCs w:val="30"/>
        </w:rPr>
        <w:t>八、建设项目拟采取的防治措施及预期治理效果</w:t>
      </w:r>
    </w:p>
    <w:tbl>
      <w:tblPr>
        <w:tblStyle w:val="29"/>
        <w:tblW w:w="101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5"/>
        <w:gridCol w:w="666"/>
        <w:gridCol w:w="1694"/>
        <w:gridCol w:w="1985"/>
        <w:gridCol w:w="2551"/>
        <w:gridCol w:w="2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75" w:type="dxa"/>
            <w:tcBorders>
              <w:tl2br w:val="single" w:color="auto" w:sz="4" w:space="0"/>
            </w:tcBorders>
          </w:tcPr>
          <w:p>
            <w:pPr>
              <w:ind w:firstLine="211" w:firstLineChars="100"/>
              <w:rPr>
                <w:b/>
                <w:color w:val="auto"/>
                <w:szCs w:val="21"/>
              </w:rPr>
            </w:pPr>
            <w:r>
              <w:rPr>
                <w:b/>
                <w:color w:val="auto"/>
                <w:szCs w:val="21"/>
              </w:rPr>
              <w:t>内容</w:t>
            </w:r>
          </w:p>
          <w:p>
            <w:pPr>
              <w:rPr>
                <w:b/>
                <w:color w:val="auto"/>
                <w:szCs w:val="21"/>
              </w:rPr>
            </w:pPr>
            <w:r>
              <w:rPr>
                <w:b/>
                <w:color w:val="auto"/>
                <w:szCs w:val="21"/>
              </w:rPr>
              <w:t>类型</w:t>
            </w:r>
          </w:p>
        </w:tc>
        <w:tc>
          <w:tcPr>
            <w:tcW w:w="2360" w:type="dxa"/>
            <w:gridSpan w:val="2"/>
            <w:vAlign w:val="center"/>
          </w:tcPr>
          <w:p>
            <w:pPr>
              <w:jc w:val="center"/>
              <w:rPr>
                <w:b/>
                <w:color w:val="auto"/>
                <w:szCs w:val="21"/>
              </w:rPr>
            </w:pPr>
            <w:r>
              <w:rPr>
                <w:b/>
                <w:color w:val="auto"/>
                <w:szCs w:val="21"/>
              </w:rPr>
              <w:t>排放源</w:t>
            </w:r>
          </w:p>
        </w:tc>
        <w:tc>
          <w:tcPr>
            <w:tcW w:w="1985" w:type="dxa"/>
            <w:vAlign w:val="center"/>
          </w:tcPr>
          <w:p>
            <w:pPr>
              <w:jc w:val="center"/>
              <w:rPr>
                <w:b/>
                <w:color w:val="auto"/>
                <w:szCs w:val="21"/>
              </w:rPr>
            </w:pPr>
            <w:r>
              <w:rPr>
                <w:b/>
                <w:color w:val="auto"/>
                <w:szCs w:val="21"/>
              </w:rPr>
              <w:t>污染物名称</w:t>
            </w:r>
          </w:p>
        </w:tc>
        <w:tc>
          <w:tcPr>
            <w:tcW w:w="2551" w:type="dxa"/>
            <w:vAlign w:val="center"/>
          </w:tcPr>
          <w:p>
            <w:pPr>
              <w:jc w:val="center"/>
              <w:rPr>
                <w:b/>
                <w:color w:val="auto"/>
                <w:szCs w:val="21"/>
              </w:rPr>
            </w:pPr>
            <w:r>
              <w:rPr>
                <w:b/>
                <w:color w:val="auto"/>
                <w:szCs w:val="21"/>
              </w:rPr>
              <w:t>防治措施</w:t>
            </w:r>
          </w:p>
        </w:tc>
        <w:tc>
          <w:tcPr>
            <w:tcW w:w="2291" w:type="dxa"/>
            <w:vAlign w:val="center"/>
          </w:tcPr>
          <w:p>
            <w:pPr>
              <w:jc w:val="center"/>
              <w:rPr>
                <w:b/>
                <w:color w:val="auto"/>
                <w:szCs w:val="21"/>
              </w:rPr>
            </w:pPr>
            <w:r>
              <w:rPr>
                <w:b/>
                <w:color w:val="auto"/>
                <w:szCs w:val="21"/>
              </w:rPr>
              <w:t>预期治理效果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975" w:type="dxa"/>
            <w:vMerge w:val="restart"/>
            <w:vAlign w:val="center"/>
          </w:tcPr>
          <w:p>
            <w:pPr>
              <w:jc w:val="center"/>
              <w:rPr>
                <w:b/>
                <w:color w:val="auto"/>
                <w:szCs w:val="21"/>
              </w:rPr>
            </w:pPr>
            <w:r>
              <w:rPr>
                <w:b/>
                <w:color w:val="auto"/>
                <w:szCs w:val="21"/>
              </w:rPr>
              <w:t>大气污染物</w:t>
            </w:r>
          </w:p>
        </w:tc>
        <w:tc>
          <w:tcPr>
            <w:tcW w:w="666" w:type="dxa"/>
            <w:vMerge w:val="restart"/>
            <w:vAlign w:val="center"/>
          </w:tcPr>
          <w:p>
            <w:pPr>
              <w:snapToGrid w:val="0"/>
              <w:jc w:val="center"/>
              <w:rPr>
                <w:color w:val="auto"/>
                <w:szCs w:val="21"/>
              </w:rPr>
            </w:pPr>
            <w:r>
              <w:rPr>
                <w:color w:val="auto"/>
                <w:szCs w:val="21"/>
              </w:rPr>
              <w:t>运营期</w:t>
            </w:r>
          </w:p>
        </w:tc>
        <w:tc>
          <w:tcPr>
            <w:tcW w:w="1694" w:type="dxa"/>
            <w:vMerge w:val="restart"/>
            <w:vAlign w:val="center"/>
          </w:tcPr>
          <w:p>
            <w:pPr>
              <w:snapToGrid w:val="0"/>
              <w:jc w:val="center"/>
              <w:rPr>
                <w:color w:val="auto"/>
                <w:szCs w:val="21"/>
              </w:rPr>
            </w:pPr>
            <w:r>
              <w:rPr>
                <w:color w:val="auto"/>
                <w:szCs w:val="21"/>
              </w:rPr>
              <w:t>生产区</w:t>
            </w:r>
          </w:p>
        </w:tc>
        <w:tc>
          <w:tcPr>
            <w:tcW w:w="1985" w:type="dxa"/>
            <w:vAlign w:val="center"/>
          </w:tcPr>
          <w:p>
            <w:pPr>
              <w:jc w:val="center"/>
              <w:rPr>
                <w:color w:val="auto"/>
                <w:szCs w:val="21"/>
              </w:rPr>
            </w:pPr>
            <w:r>
              <w:rPr>
                <w:color w:val="auto"/>
                <w:szCs w:val="21"/>
              </w:rPr>
              <w:t>砂场装卸粉尘</w:t>
            </w:r>
          </w:p>
        </w:tc>
        <w:tc>
          <w:tcPr>
            <w:tcW w:w="2551" w:type="dxa"/>
            <w:vAlign w:val="center"/>
          </w:tcPr>
          <w:p>
            <w:pPr>
              <w:snapToGrid w:val="0"/>
              <w:jc w:val="center"/>
              <w:rPr>
                <w:color w:val="auto"/>
                <w:szCs w:val="21"/>
              </w:rPr>
            </w:pPr>
            <w:r>
              <w:rPr>
                <w:color w:val="auto"/>
                <w:szCs w:val="21"/>
              </w:rPr>
              <w:t>采取喷淋洒水</w:t>
            </w:r>
          </w:p>
        </w:tc>
        <w:tc>
          <w:tcPr>
            <w:tcW w:w="2291" w:type="dxa"/>
            <w:vMerge w:val="restart"/>
            <w:vAlign w:val="center"/>
          </w:tcPr>
          <w:p>
            <w:pPr>
              <w:snapToGrid w:val="0"/>
              <w:jc w:val="center"/>
              <w:rPr>
                <w:bCs/>
                <w:color w:val="auto"/>
                <w:szCs w:val="21"/>
              </w:rPr>
            </w:pPr>
            <w:r>
              <w:rPr>
                <w:color w:val="auto"/>
                <w:kern w:val="0"/>
                <w:szCs w:val="21"/>
              </w:rPr>
              <w:t>《</w:t>
            </w:r>
            <w:r>
              <w:rPr>
                <w:color w:val="auto"/>
                <w:szCs w:val="21"/>
              </w:rPr>
              <w:t>水泥工业大气污染物排放标准》（GB 4915-2013）中表2中散装水泥中转站及水泥制品生产的颗粒物排放限值及表3颗粒物无组织排放监控浓度限值标准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Merge w:val="continue"/>
            <w:vAlign w:val="center"/>
          </w:tcPr>
          <w:p>
            <w:pPr>
              <w:snapToGrid w:val="0"/>
              <w:jc w:val="center"/>
              <w:rPr>
                <w:color w:val="auto"/>
                <w:szCs w:val="21"/>
              </w:rPr>
            </w:pPr>
          </w:p>
        </w:tc>
        <w:tc>
          <w:tcPr>
            <w:tcW w:w="1985" w:type="dxa"/>
            <w:vMerge w:val="restart"/>
            <w:vAlign w:val="center"/>
          </w:tcPr>
          <w:p>
            <w:pPr>
              <w:jc w:val="center"/>
              <w:rPr>
                <w:color w:val="auto"/>
              </w:rPr>
            </w:pPr>
            <w:r>
              <w:rPr>
                <w:color w:val="auto"/>
                <w:szCs w:val="21"/>
              </w:rPr>
              <w:t>入罐输送、计量、投料粉尘</w:t>
            </w:r>
          </w:p>
        </w:tc>
        <w:tc>
          <w:tcPr>
            <w:tcW w:w="2551" w:type="dxa"/>
            <w:vAlign w:val="center"/>
          </w:tcPr>
          <w:p>
            <w:pPr>
              <w:snapToGrid w:val="0"/>
              <w:jc w:val="center"/>
              <w:rPr>
                <w:color w:val="auto"/>
                <w:szCs w:val="21"/>
              </w:rPr>
            </w:pPr>
            <w:r>
              <w:rPr>
                <w:color w:val="auto"/>
                <w:szCs w:val="21"/>
              </w:rPr>
              <w:t>装卸料点上方以及料斗上方均设置水雾喷淋装置</w:t>
            </w:r>
          </w:p>
        </w:tc>
        <w:tc>
          <w:tcPr>
            <w:tcW w:w="2291" w:type="dxa"/>
            <w:vMerge w:val="continue"/>
            <w:vAlign w:val="center"/>
          </w:tcPr>
          <w:p>
            <w:pPr>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Merge w:val="continue"/>
            <w:vAlign w:val="center"/>
          </w:tcPr>
          <w:p>
            <w:pPr>
              <w:snapToGrid w:val="0"/>
              <w:jc w:val="center"/>
              <w:rPr>
                <w:color w:val="auto"/>
                <w:szCs w:val="21"/>
              </w:rPr>
            </w:pPr>
          </w:p>
        </w:tc>
        <w:tc>
          <w:tcPr>
            <w:tcW w:w="1985" w:type="dxa"/>
            <w:vMerge w:val="continue"/>
            <w:vAlign w:val="center"/>
          </w:tcPr>
          <w:p>
            <w:pPr>
              <w:jc w:val="center"/>
              <w:rPr>
                <w:color w:val="auto"/>
                <w:szCs w:val="21"/>
              </w:rPr>
            </w:pPr>
          </w:p>
        </w:tc>
        <w:tc>
          <w:tcPr>
            <w:tcW w:w="2551" w:type="dxa"/>
            <w:vAlign w:val="center"/>
          </w:tcPr>
          <w:p>
            <w:pPr>
              <w:snapToGrid w:val="0"/>
              <w:jc w:val="center"/>
              <w:rPr>
                <w:color w:val="auto"/>
                <w:szCs w:val="21"/>
              </w:rPr>
            </w:pPr>
            <w:r>
              <w:rPr>
                <w:color w:val="auto"/>
                <w:szCs w:val="21"/>
              </w:rPr>
              <w:t>水泥筒库粉尘各设置一台单机脉冲滤芯除尘器</w:t>
            </w:r>
          </w:p>
        </w:tc>
        <w:tc>
          <w:tcPr>
            <w:tcW w:w="2291" w:type="dxa"/>
            <w:vMerge w:val="continue"/>
            <w:vAlign w:val="center"/>
          </w:tcPr>
          <w:p>
            <w:pPr>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Merge w:val="continue"/>
            <w:vAlign w:val="center"/>
          </w:tcPr>
          <w:p>
            <w:pPr>
              <w:snapToGrid w:val="0"/>
              <w:jc w:val="center"/>
              <w:rPr>
                <w:color w:val="auto"/>
                <w:szCs w:val="21"/>
              </w:rPr>
            </w:pPr>
          </w:p>
        </w:tc>
        <w:tc>
          <w:tcPr>
            <w:tcW w:w="1985" w:type="dxa"/>
            <w:vAlign w:val="center"/>
          </w:tcPr>
          <w:p>
            <w:pPr>
              <w:jc w:val="center"/>
              <w:rPr>
                <w:color w:val="auto"/>
              </w:rPr>
            </w:pPr>
            <w:r>
              <w:rPr>
                <w:color w:val="auto"/>
                <w:szCs w:val="21"/>
              </w:rPr>
              <w:t>搅拌系统产生的粉尘</w:t>
            </w:r>
          </w:p>
        </w:tc>
        <w:tc>
          <w:tcPr>
            <w:tcW w:w="2551" w:type="dxa"/>
            <w:vAlign w:val="center"/>
          </w:tcPr>
          <w:p>
            <w:pPr>
              <w:snapToGrid w:val="0"/>
              <w:jc w:val="center"/>
              <w:rPr>
                <w:color w:val="auto"/>
                <w:szCs w:val="21"/>
              </w:rPr>
            </w:pPr>
            <w:r>
              <w:rPr>
                <w:color w:val="auto"/>
                <w:szCs w:val="21"/>
              </w:rPr>
              <w:t>搅拌系统采用袋式除尘器处理系统</w:t>
            </w:r>
          </w:p>
        </w:tc>
        <w:tc>
          <w:tcPr>
            <w:tcW w:w="2291" w:type="dxa"/>
            <w:vMerge w:val="continue"/>
            <w:vAlign w:val="center"/>
          </w:tcPr>
          <w:p>
            <w:pPr>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Merge w:val="continue"/>
            <w:vAlign w:val="center"/>
          </w:tcPr>
          <w:p>
            <w:pPr>
              <w:snapToGrid w:val="0"/>
              <w:jc w:val="center"/>
              <w:rPr>
                <w:color w:val="auto"/>
                <w:szCs w:val="21"/>
              </w:rPr>
            </w:pPr>
          </w:p>
        </w:tc>
        <w:tc>
          <w:tcPr>
            <w:tcW w:w="1985" w:type="dxa"/>
            <w:vAlign w:val="center"/>
          </w:tcPr>
          <w:p>
            <w:pPr>
              <w:jc w:val="center"/>
              <w:rPr>
                <w:color w:val="auto"/>
              </w:rPr>
            </w:pPr>
            <w:r>
              <w:rPr>
                <w:color w:val="auto"/>
                <w:szCs w:val="21"/>
              </w:rPr>
              <w:t>运输车辆动力起尘</w:t>
            </w:r>
          </w:p>
        </w:tc>
        <w:tc>
          <w:tcPr>
            <w:tcW w:w="2551" w:type="dxa"/>
            <w:vAlign w:val="center"/>
          </w:tcPr>
          <w:p>
            <w:pPr>
              <w:snapToGrid w:val="0"/>
              <w:jc w:val="center"/>
              <w:rPr>
                <w:color w:val="auto"/>
                <w:szCs w:val="21"/>
              </w:rPr>
            </w:pPr>
            <w:r>
              <w:rPr>
                <w:color w:val="auto"/>
                <w:szCs w:val="21"/>
              </w:rPr>
              <w:t>限制进度厂内车辆车速，定期对厂区地面洒水和清洁，场内配套除尘雾泡机抑尘</w:t>
            </w:r>
          </w:p>
        </w:tc>
        <w:tc>
          <w:tcPr>
            <w:tcW w:w="2291" w:type="dxa"/>
            <w:vMerge w:val="continue"/>
            <w:vAlign w:val="center"/>
          </w:tcPr>
          <w:p>
            <w:pPr>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Merge w:val="continue"/>
            <w:vAlign w:val="center"/>
          </w:tcPr>
          <w:p>
            <w:pPr>
              <w:snapToGrid w:val="0"/>
              <w:jc w:val="center"/>
              <w:rPr>
                <w:color w:val="auto"/>
                <w:szCs w:val="21"/>
              </w:rPr>
            </w:pPr>
          </w:p>
        </w:tc>
        <w:tc>
          <w:tcPr>
            <w:tcW w:w="1985" w:type="dxa"/>
            <w:vAlign w:val="center"/>
          </w:tcPr>
          <w:p>
            <w:pPr>
              <w:jc w:val="center"/>
              <w:rPr>
                <w:color w:val="auto"/>
                <w:szCs w:val="21"/>
              </w:rPr>
            </w:pPr>
            <w:r>
              <w:rPr>
                <w:color w:val="auto"/>
                <w:szCs w:val="21"/>
              </w:rPr>
              <w:t>制砂生产线产生粉尘</w:t>
            </w:r>
          </w:p>
        </w:tc>
        <w:tc>
          <w:tcPr>
            <w:tcW w:w="2551" w:type="dxa"/>
            <w:vAlign w:val="center"/>
          </w:tcPr>
          <w:p>
            <w:pPr>
              <w:snapToGrid w:val="0"/>
              <w:jc w:val="center"/>
              <w:rPr>
                <w:color w:val="auto"/>
                <w:szCs w:val="21"/>
              </w:rPr>
            </w:pPr>
            <w:r>
              <w:rPr>
                <w:rFonts w:hint="eastAsia"/>
                <w:color w:val="auto"/>
                <w:szCs w:val="21"/>
              </w:rPr>
              <w:t>布袋除尘</w:t>
            </w:r>
          </w:p>
        </w:tc>
        <w:tc>
          <w:tcPr>
            <w:tcW w:w="2291" w:type="dxa"/>
            <w:vAlign w:val="center"/>
          </w:tcPr>
          <w:p>
            <w:pPr>
              <w:rPr>
                <w:color w:val="auto"/>
                <w:szCs w:val="21"/>
              </w:rPr>
            </w:pPr>
            <w:r>
              <w:rPr>
                <w:color w:val="auto"/>
                <w:kern w:val="0"/>
                <w:szCs w:val="21"/>
              </w:rPr>
              <w:t>执行《大气污染物排放限值》（DB44/27-2001）中第二时段二级标准的要求</w:t>
            </w:r>
            <w:r>
              <w:rPr>
                <w:rFonts w:hint="eastAsia"/>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jc w:val="center"/>
        </w:trPr>
        <w:tc>
          <w:tcPr>
            <w:tcW w:w="975" w:type="dxa"/>
            <w:vMerge w:val="continue"/>
            <w:vAlign w:val="center"/>
          </w:tcPr>
          <w:p>
            <w:pPr>
              <w:jc w:val="center"/>
              <w:rPr>
                <w:b/>
                <w:color w:val="auto"/>
                <w:szCs w:val="21"/>
              </w:rPr>
            </w:pPr>
          </w:p>
        </w:tc>
        <w:tc>
          <w:tcPr>
            <w:tcW w:w="666" w:type="dxa"/>
            <w:vMerge w:val="continue"/>
            <w:vAlign w:val="center"/>
          </w:tcPr>
          <w:p>
            <w:pPr>
              <w:snapToGrid w:val="0"/>
              <w:jc w:val="center"/>
              <w:rPr>
                <w:color w:val="auto"/>
                <w:szCs w:val="21"/>
              </w:rPr>
            </w:pPr>
          </w:p>
        </w:tc>
        <w:tc>
          <w:tcPr>
            <w:tcW w:w="1694" w:type="dxa"/>
            <w:vAlign w:val="center"/>
          </w:tcPr>
          <w:p>
            <w:pPr>
              <w:snapToGrid w:val="0"/>
              <w:jc w:val="center"/>
              <w:rPr>
                <w:rFonts w:hint="eastAsia"/>
                <w:color w:val="auto"/>
                <w:szCs w:val="21"/>
              </w:rPr>
            </w:pPr>
            <w:r>
              <w:rPr>
                <w:rFonts w:hint="eastAsia"/>
                <w:color w:val="auto"/>
                <w:szCs w:val="21"/>
              </w:rPr>
              <w:t>备</w:t>
            </w:r>
            <w:r>
              <w:rPr>
                <w:color w:val="auto"/>
                <w:szCs w:val="21"/>
              </w:rPr>
              <w:t>用发电</w:t>
            </w:r>
            <w:r>
              <w:rPr>
                <w:rFonts w:hint="eastAsia"/>
                <w:color w:val="auto"/>
                <w:szCs w:val="21"/>
              </w:rPr>
              <w:t>机</w:t>
            </w:r>
          </w:p>
        </w:tc>
        <w:tc>
          <w:tcPr>
            <w:tcW w:w="1985" w:type="dxa"/>
            <w:vAlign w:val="center"/>
          </w:tcPr>
          <w:p>
            <w:pPr>
              <w:jc w:val="center"/>
              <w:rPr>
                <w:color w:val="auto"/>
                <w:szCs w:val="21"/>
              </w:rPr>
            </w:pPr>
            <w:r>
              <w:rPr>
                <w:rFonts w:hint="eastAsia"/>
                <w:color w:val="auto"/>
                <w:kern w:val="0"/>
                <w:szCs w:val="21"/>
              </w:rPr>
              <w:t>SO</w:t>
            </w:r>
            <w:r>
              <w:rPr>
                <w:rFonts w:hint="eastAsia"/>
                <w:color w:val="auto"/>
                <w:kern w:val="0"/>
                <w:szCs w:val="21"/>
                <w:vertAlign w:val="subscript"/>
              </w:rPr>
              <w:t>2</w:t>
            </w:r>
            <w:r>
              <w:rPr>
                <w:rFonts w:hint="eastAsia"/>
                <w:color w:val="auto"/>
                <w:kern w:val="0"/>
                <w:szCs w:val="21"/>
              </w:rPr>
              <w:t>、CO、NO</w:t>
            </w:r>
            <w:r>
              <w:rPr>
                <w:rFonts w:hint="eastAsia"/>
                <w:color w:val="auto"/>
                <w:kern w:val="0"/>
                <w:szCs w:val="21"/>
                <w:vertAlign w:val="subscript"/>
              </w:rPr>
              <w:t>X</w:t>
            </w:r>
            <w:r>
              <w:rPr>
                <w:rFonts w:hint="eastAsia"/>
                <w:color w:val="auto"/>
                <w:kern w:val="0"/>
                <w:szCs w:val="21"/>
              </w:rPr>
              <w:t>、烟尘</w:t>
            </w:r>
          </w:p>
        </w:tc>
        <w:tc>
          <w:tcPr>
            <w:tcW w:w="2551" w:type="dxa"/>
            <w:vAlign w:val="center"/>
          </w:tcPr>
          <w:p>
            <w:pPr>
              <w:snapToGrid w:val="0"/>
              <w:jc w:val="center"/>
              <w:rPr>
                <w:rFonts w:hint="eastAsia"/>
                <w:color w:val="auto"/>
                <w:szCs w:val="21"/>
              </w:rPr>
            </w:pPr>
            <w:r>
              <w:rPr>
                <w:rFonts w:hint="eastAsia"/>
                <w:color w:val="auto"/>
                <w:kern w:val="0"/>
                <w:szCs w:val="21"/>
              </w:rPr>
              <w:t>碱喷淋装置处理后高空排放</w:t>
            </w:r>
          </w:p>
        </w:tc>
        <w:tc>
          <w:tcPr>
            <w:tcW w:w="2291" w:type="dxa"/>
            <w:vAlign w:val="center"/>
          </w:tcPr>
          <w:p>
            <w:pPr>
              <w:rPr>
                <w:color w:val="auto"/>
                <w:kern w:val="0"/>
                <w:szCs w:val="21"/>
              </w:rPr>
            </w:pPr>
            <w:r>
              <w:rPr>
                <w:color w:val="auto"/>
                <w:kern w:val="0"/>
                <w:szCs w:val="21"/>
              </w:rPr>
              <w:t>执行《大气污染物排放限值》（DB44/27-2001）中第二时段二级标准的要求</w:t>
            </w:r>
            <w:r>
              <w:rPr>
                <w:rFonts w:hint="eastAsia"/>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1" w:hRule="atLeast"/>
          <w:jc w:val="center"/>
        </w:trPr>
        <w:tc>
          <w:tcPr>
            <w:tcW w:w="975" w:type="dxa"/>
            <w:vMerge w:val="restart"/>
            <w:vAlign w:val="center"/>
          </w:tcPr>
          <w:p>
            <w:pPr>
              <w:jc w:val="center"/>
              <w:rPr>
                <w:b/>
                <w:color w:val="auto"/>
                <w:szCs w:val="21"/>
              </w:rPr>
            </w:pPr>
            <w:r>
              <w:rPr>
                <w:b/>
                <w:color w:val="auto"/>
                <w:szCs w:val="21"/>
              </w:rPr>
              <w:t>水污染物</w:t>
            </w:r>
          </w:p>
        </w:tc>
        <w:tc>
          <w:tcPr>
            <w:tcW w:w="666" w:type="dxa"/>
            <w:vMerge w:val="restart"/>
            <w:vAlign w:val="center"/>
          </w:tcPr>
          <w:p>
            <w:pPr>
              <w:jc w:val="center"/>
              <w:rPr>
                <w:color w:val="auto"/>
                <w:szCs w:val="21"/>
              </w:rPr>
            </w:pPr>
            <w:r>
              <w:rPr>
                <w:color w:val="auto"/>
                <w:szCs w:val="21"/>
              </w:rPr>
              <w:t>运营期</w:t>
            </w:r>
          </w:p>
        </w:tc>
        <w:tc>
          <w:tcPr>
            <w:tcW w:w="1694" w:type="dxa"/>
            <w:vAlign w:val="center"/>
          </w:tcPr>
          <w:p>
            <w:pPr>
              <w:jc w:val="center"/>
              <w:rPr>
                <w:color w:val="auto"/>
                <w:szCs w:val="21"/>
              </w:rPr>
            </w:pPr>
            <w:r>
              <w:rPr>
                <w:color w:val="auto"/>
                <w:szCs w:val="21"/>
              </w:rPr>
              <w:t>生活污水</w:t>
            </w:r>
          </w:p>
        </w:tc>
        <w:tc>
          <w:tcPr>
            <w:tcW w:w="1985" w:type="dxa"/>
            <w:vAlign w:val="center"/>
          </w:tcPr>
          <w:p>
            <w:pPr>
              <w:snapToGrid w:val="0"/>
              <w:jc w:val="center"/>
              <w:rPr>
                <w:color w:val="auto"/>
                <w:szCs w:val="21"/>
              </w:rPr>
            </w:pPr>
            <w:r>
              <w:rPr>
                <w:color w:val="auto"/>
                <w:szCs w:val="21"/>
              </w:rPr>
              <w:t>COD</w:t>
            </w:r>
            <w:r>
              <w:rPr>
                <w:color w:val="auto"/>
                <w:szCs w:val="21"/>
                <w:vertAlign w:val="subscript"/>
              </w:rPr>
              <w:t>Cr</w:t>
            </w:r>
          </w:p>
          <w:p>
            <w:pPr>
              <w:snapToGrid w:val="0"/>
              <w:jc w:val="center"/>
              <w:rPr>
                <w:color w:val="auto"/>
                <w:szCs w:val="21"/>
              </w:rPr>
            </w:pPr>
            <w:r>
              <w:rPr>
                <w:color w:val="auto"/>
                <w:szCs w:val="21"/>
              </w:rPr>
              <w:t>BOD</w:t>
            </w:r>
            <w:r>
              <w:rPr>
                <w:color w:val="auto"/>
                <w:szCs w:val="21"/>
                <w:vertAlign w:val="subscript"/>
              </w:rPr>
              <w:t>5</w:t>
            </w:r>
          </w:p>
          <w:p>
            <w:pPr>
              <w:jc w:val="center"/>
              <w:rPr>
                <w:color w:val="auto"/>
                <w:szCs w:val="21"/>
              </w:rPr>
            </w:pPr>
            <w:r>
              <w:rPr>
                <w:color w:val="auto"/>
                <w:szCs w:val="21"/>
              </w:rPr>
              <w:t>SS</w:t>
            </w:r>
          </w:p>
          <w:p>
            <w:pPr>
              <w:jc w:val="center"/>
              <w:rPr>
                <w:color w:val="auto"/>
                <w:szCs w:val="21"/>
              </w:rPr>
            </w:pPr>
            <w:r>
              <w:rPr>
                <w:color w:val="auto"/>
                <w:szCs w:val="21"/>
              </w:rPr>
              <w:t>NH</w:t>
            </w:r>
            <w:r>
              <w:rPr>
                <w:color w:val="auto"/>
                <w:szCs w:val="21"/>
                <w:vertAlign w:val="subscript"/>
              </w:rPr>
              <w:t>3</w:t>
            </w:r>
            <w:r>
              <w:rPr>
                <w:color w:val="auto"/>
                <w:szCs w:val="21"/>
              </w:rPr>
              <w:t>-N</w:t>
            </w:r>
          </w:p>
        </w:tc>
        <w:tc>
          <w:tcPr>
            <w:tcW w:w="2551" w:type="dxa"/>
            <w:vAlign w:val="center"/>
          </w:tcPr>
          <w:p>
            <w:pPr>
              <w:adjustRightInd w:val="0"/>
              <w:snapToGrid w:val="0"/>
              <w:jc w:val="center"/>
              <w:rPr>
                <w:color w:val="auto"/>
                <w:szCs w:val="21"/>
              </w:rPr>
            </w:pPr>
            <w:r>
              <w:rPr>
                <w:rFonts w:hint="eastAsia"/>
                <w:color w:val="auto"/>
                <w:szCs w:val="21"/>
              </w:rPr>
              <w:t>地埋式一</w:t>
            </w:r>
            <w:r>
              <w:rPr>
                <w:color w:val="auto"/>
                <w:szCs w:val="21"/>
              </w:rPr>
              <w:t>体化</w:t>
            </w:r>
            <w:r>
              <w:rPr>
                <w:rFonts w:hint="eastAsia"/>
                <w:color w:val="auto"/>
                <w:szCs w:val="21"/>
              </w:rPr>
              <w:t>污水</w:t>
            </w:r>
            <w:r>
              <w:rPr>
                <w:color w:val="auto"/>
                <w:szCs w:val="21"/>
              </w:rPr>
              <w:t>处理设施</w:t>
            </w:r>
          </w:p>
        </w:tc>
        <w:tc>
          <w:tcPr>
            <w:tcW w:w="2291" w:type="dxa"/>
            <w:vAlign w:val="center"/>
          </w:tcPr>
          <w:p>
            <w:pPr>
              <w:adjustRightInd w:val="0"/>
              <w:snapToGrid w:val="0"/>
              <w:jc w:val="center"/>
              <w:rPr>
                <w:color w:val="auto"/>
              </w:rPr>
            </w:pPr>
            <w:r>
              <w:rPr>
                <w:color w:val="auto"/>
                <w:szCs w:val="21"/>
              </w:rPr>
              <w:t>达到</w:t>
            </w:r>
            <w:r>
              <w:rPr>
                <w:rFonts w:hint="eastAsia"/>
                <w:color w:val="auto"/>
                <w:szCs w:val="21"/>
              </w:rPr>
              <w:t>《城市污水再生利用</w:t>
            </w:r>
            <w:r>
              <w:rPr>
                <w:color w:val="auto"/>
                <w:szCs w:val="21"/>
              </w:rPr>
              <w:t> </w:t>
            </w:r>
            <w:r>
              <w:rPr>
                <w:rFonts w:hint="eastAsia"/>
                <w:color w:val="auto"/>
                <w:szCs w:val="21"/>
              </w:rPr>
              <w:t>城市杂用水水质》（</w:t>
            </w:r>
            <w:r>
              <w:rPr>
                <w:color w:val="auto"/>
                <w:szCs w:val="21"/>
              </w:rPr>
              <w:t>GB/T18920-2002</w:t>
            </w:r>
            <w:r>
              <w:rPr>
                <w:rFonts w:hint="eastAsia"/>
                <w:color w:val="auto"/>
                <w:szCs w:val="21"/>
              </w:rPr>
              <w:t>）中绿化用水标准要求后回用于厂区绿化灌溉，</w:t>
            </w:r>
            <w:r>
              <w:rPr>
                <w:color w:val="auto"/>
                <w:szCs w:val="21"/>
              </w:rPr>
              <w:t>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3" w:hRule="atLeast"/>
          <w:jc w:val="center"/>
        </w:trPr>
        <w:tc>
          <w:tcPr>
            <w:tcW w:w="975" w:type="dxa"/>
            <w:vMerge w:val="continue"/>
            <w:vAlign w:val="center"/>
          </w:tcPr>
          <w:p>
            <w:pPr>
              <w:jc w:val="center"/>
              <w:rPr>
                <w:b/>
                <w:color w:val="auto"/>
                <w:szCs w:val="21"/>
              </w:rPr>
            </w:pPr>
          </w:p>
        </w:tc>
        <w:tc>
          <w:tcPr>
            <w:tcW w:w="666" w:type="dxa"/>
            <w:vMerge w:val="continue"/>
            <w:vAlign w:val="center"/>
          </w:tcPr>
          <w:p>
            <w:pPr>
              <w:widowControl/>
              <w:adjustRightInd w:val="0"/>
              <w:snapToGrid w:val="0"/>
              <w:jc w:val="center"/>
              <w:rPr>
                <w:color w:val="auto"/>
                <w:szCs w:val="21"/>
              </w:rPr>
            </w:pPr>
          </w:p>
        </w:tc>
        <w:tc>
          <w:tcPr>
            <w:tcW w:w="1694" w:type="dxa"/>
            <w:vAlign w:val="center"/>
          </w:tcPr>
          <w:p>
            <w:pPr>
              <w:widowControl/>
              <w:adjustRightInd w:val="0"/>
              <w:snapToGrid w:val="0"/>
              <w:jc w:val="center"/>
              <w:rPr>
                <w:color w:val="auto"/>
                <w:szCs w:val="21"/>
              </w:rPr>
            </w:pPr>
            <w:r>
              <w:rPr>
                <w:color w:val="auto"/>
                <w:szCs w:val="21"/>
              </w:rPr>
              <w:t>运输车清洗废水</w:t>
            </w:r>
          </w:p>
        </w:tc>
        <w:tc>
          <w:tcPr>
            <w:tcW w:w="1985" w:type="dxa"/>
            <w:vMerge w:val="restart"/>
            <w:vAlign w:val="center"/>
          </w:tcPr>
          <w:p>
            <w:pPr>
              <w:adjustRightInd w:val="0"/>
              <w:snapToGrid w:val="0"/>
              <w:jc w:val="center"/>
              <w:rPr>
                <w:color w:val="auto"/>
                <w:szCs w:val="21"/>
              </w:rPr>
            </w:pPr>
            <w:r>
              <w:rPr>
                <w:color w:val="auto"/>
                <w:szCs w:val="21"/>
              </w:rPr>
              <w:t>SS</w:t>
            </w:r>
          </w:p>
        </w:tc>
        <w:tc>
          <w:tcPr>
            <w:tcW w:w="2551" w:type="dxa"/>
            <w:vMerge w:val="restart"/>
            <w:vAlign w:val="center"/>
          </w:tcPr>
          <w:p>
            <w:pPr>
              <w:adjustRightInd w:val="0"/>
              <w:snapToGrid w:val="0"/>
              <w:jc w:val="center"/>
              <w:rPr>
                <w:color w:val="auto"/>
                <w:szCs w:val="21"/>
              </w:rPr>
            </w:pPr>
            <w:r>
              <w:rPr>
                <w:rFonts w:hint="eastAsia"/>
                <w:color w:val="auto"/>
                <w:szCs w:val="21"/>
              </w:rPr>
              <w:t>四</w:t>
            </w:r>
            <w:r>
              <w:rPr>
                <w:color w:val="auto"/>
                <w:szCs w:val="21"/>
              </w:rPr>
              <w:t>级</w:t>
            </w:r>
            <w:r>
              <w:rPr>
                <w:rFonts w:hint="eastAsia"/>
                <w:color w:val="auto"/>
                <w:szCs w:val="21"/>
              </w:rPr>
              <w:t>沉淀</w:t>
            </w:r>
            <w:r>
              <w:rPr>
                <w:color w:val="auto"/>
                <w:szCs w:val="21"/>
              </w:rPr>
              <w:t>处理系统处理　</w:t>
            </w:r>
          </w:p>
        </w:tc>
        <w:tc>
          <w:tcPr>
            <w:tcW w:w="2291" w:type="dxa"/>
            <w:vMerge w:val="restart"/>
            <w:vAlign w:val="center"/>
          </w:tcPr>
          <w:p>
            <w:pPr>
              <w:adjustRightInd w:val="0"/>
              <w:snapToGrid w:val="0"/>
              <w:jc w:val="center"/>
              <w:rPr>
                <w:color w:val="auto"/>
                <w:szCs w:val="21"/>
              </w:rPr>
            </w:pPr>
            <w:r>
              <w:rPr>
                <w:color w:val="auto"/>
                <w:szCs w:val="21"/>
              </w:rPr>
              <w:t>回用于生产或运输车及搅拌车清洗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975" w:type="dxa"/>
            <w:vMerge w:val="continue"/>
            <w:vAlign w:val="center"/>
          </w:tcPr>
          <w:p>
            <w:pPr>
              <w:jc w:val="center"/>
              <w:rPr>
                <w:b/>
                <w:color w:val="auto"/>
                <w:szCs w:val="21"/>
              </w:rPr>
            </w:pPr>
          </w:p>
        </w:tc>
        <w:tc>
          <w:tcPr>
            <w:tcW w:w="666" w:type="dxa"/>
            <w:vMerge w:val="continue"/>
          </w:tcPr>
          <w:p>
            <w:pPr>
              <w:widowControl/>
              <w:adjustRightInd w:val="0"/>
              <w:snapToGrid w:val="0"/>
              <w:jc w:val="center"/>
              <w:rPr>
                <w:color w:val="auto"/>
                <w:szCs w:val="21"/>
              </w:rPr>
            </w:pPr>
          </w:p>
        </w:tc>
        <w:tc>
          <w:tcPr>
            <w:tcW w:w="1694" w:type="dxa"/>
            <w:vAlign w:val="center"/>
          </w:tcPr>
          <w:p>
            <w:pPr>
              <w:widowControl/>
              <w:adjustRightInd w:val="0"/>
              <w:snapToGrid w:val="0"/>
              <w:jc w:val="center"/>
              <w:rPr>
                <w:color w:val="auto"/>
                <w:szCs w:val="21"/>
              </w:rPr>
            </w:pPr>
            <w:r>
              <w:rPr>
                <w:color w:val="auto"/>
                <w:szCs w:val="21"/>
              </w:rPr>
              <w:t>搅拌车清洗废水</w:t>
            </w:r>
          </w:p>
        </w:tc>
        <w:tc>
          <w:tcPr>
            <w:tcW w:w="1985" w:type="dxa"/>
            <w:vMerge w:val="continue"/>
            <w:vAlign w:val="center"/>
          </w:tcPr>
          <w:p>
            <w:pPr>
              <w:adjustRightInd w:val="0"/>
              <w:snapToGrid w:val="0"/>
              <w:jc w:val="center"/>
              <w:rPr>
                <w:color w:val="auto"/>
                <w:szCs w:val="21"/>
              </w:rPr>
            </w:pPr>
          </w:p>
        </w:tc>
        <w:tc>
          <w:tcPr>
            <w:tcW w:w="2551" w:type="dxa"/>
            <w:vMerge w:val="continue"/>
            <w:vAlign w:val="center"/>
          </w:tcPr>
          <w:p>
            <w:pPr>
              <w:adjustRightInd w:val="0"/>
              <w:snapToGrid w:val="0"/>
              <w:jc w:val="center"/>
              <w:rPr>
                <w:color w:val="auto"/>
                <w:szCs w:val="21"/>
              </w:rPr>
            </w:pPr>
          </w:p>
        </w:tc>
        <w:tc>
          <w:tcPr>
            <w:tcW w:w="2291" w:type="dxa"/>
            <w:vMerge w:val="continue"/>
            <w:vAlign w:val="center"/>
          </w:tcPr>
          <w:p>
            <w:pPr>
              <w:adjustRightInd w:val="0"/>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975" w:type="dxa"/>
            <w:vMerge w:val="continue"/>
            <w:vAlign w:val="center"/>
          </w:tcPr>
          <w:p>
            <w:pPr>
              <w:jc w:val="center"/>
              <w:rPr>
                <w:b/>
                <w:color w:val="auto"/>
                <w:szCs w:val="21"/>
              </w:rPr>
            </w:pPr>
          </w:p>
        </w:tc>
        <w:tc>
          <w:tcPr>
            <w:tcW w:w="666" w:type="dxa"/>
            <w:vMerge w:val="continue"/>
          </w:tcPr>
          <w:p>
            <w:pPr>
              <w:widowControl/>
              <w:adjustRightInd w:val="0"/>
              <w:snapToGrid w:val="0"/>
              <w:jc w:val="center"/>
              <w:rPr>
                <w:color w:val="auto"/>
                <w:szCs w:val="21"/>
              </w:rPr>
            </w:pPr>
          </w:p>
        </w:tc>
        <w:tc>
          <w:tcPr>
            <w:tcW w:w="1694" w:type="dxa"/>
            <w:vAlign w:val="center"/>
          </w:tcPr>
          <w:p>
            <w:pPr>
              <w:widowControl/>
              <w:adjustRightInd w:val="0"/>
              <w:snapToGrid w:val="0"/>
              <w:jc w:val="center"/>
              <w:rPr>
                <w:color w:val="auto"/>
                <w:szCs w:val="21"/>
              </w:rPr>
            </w:pPr>
            <w:r>
              <w:rPr>
                <w:color w:val="auto"/>
                <w:szCs w:val="21"/>
              </w:rPr>
              <w:t>砂石分离机产生泥浆水</w:t>
            </w:r>
          </w:p>
        </w:tc>
        <w:tc>
          <w:tcPr>
            <w:tcW w:w="1985" w:type="dxa"/>
            <w:vMerge w:val="continue"/>
            <w:vAlign w:val="center"/>
          </w:tcPr>
          <w:p>
            <w:pPr>
              <w:adjustRightInd w:val="0"/>
              <w:snapToGrid w:val="0"/>
              <w:jc w:val="center"/>
              <w:rPr>
                <w:color w:val="auto"/>
                <w:szCs w:val="21"/>
              </w:rPr>
            </w:pPr>
          </w:p>
        </w:tc>
        <w:tc>
          <w:tcPr>
            <w:tcW w:w="2551" w:type="dxa"/>
            <w:vMerge w:val="continue"/>
            <w:vAlign w:val="center"/>
          </w:tcPr>
          <w:p>
            <w:pPr>
              <w:adjustRightInd w:val="0"/>
              <w:snapToGrid w:val="0"/>
              <w:jc w:val="center"/>
              <w:rPr>
                <w:color w:val="auto"/>
                <w:szCs w:val="21"/>
              </w:rPr>
            </w:pPr>
          </w:p>
        </w:tc>
        <w:tc>
          <w:tcPr>
            <w:tcW w:w="2291" w:type="dxa"/>
            <w:vMerge w:val="continue"/>
            <w:vAlign w:val="center"/>
          </w:tcPr>
          <w:p>
            <w:pPr>
              <w:adjustRightInd w:val="0"/>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975" w:type="dxa"/>
            <w:vMerge w:val="continue"/>
            <w:vAlign w:val="center"/>
          </w:tcPr>
          <w:p>
            <w:pPr>
              <w:jc w:val="center"/>
              <w:rPr>
                <w:b/>
                <w:color w:val="auto"/>
                <w:szCs w:val="21"/>
              </w:rPr>
            </w:pPr>
          </w:p>
        </w:tc>
        <w:tc>
          <w:tcPr>
            <w:tcW w:w="666" w:type="dxa"/>
            <w:vMerge w:val="continue"/>
          </w:tcPr>
          <w:p>
            <w:pPr>
              <w:widowControl/>
              <w:adjustRightInd w:val="0"/>
              <w:snapToGrid w:val="0"/>
              <w:jc w:val="center"/>
              <w:rPr>
                <w:color w:val="auto"/>
                <w:szCs w:val="21"/>
              </w:rPr>
            </w:pPr>
          </w:p>
        </w:tc>
        <w:tc>
          <w:tcPr>
            <w:tcW w:w="1694" w:type="dxa"/>
            <w:vAlign w:val="center"/>
          </w:tcPr>
          <w:p>
            <w:pPr>
              <w:widowControl/>
              <w:adjustRightInd w:val="0"/>
              <w:snapToGrid w:val="0"/>
              <w:jc w:val="center"/>
              <w:rPr>
                <w:color w:val="auto"/>
                <w:szCs w:val="21"/>
              </w:rPr>
            </w:pPr>
            <w:r>
              <w:rPr>
                <w:color w:val="auto"/>
                <w:szCs w:val="21"/>
              </w:rPr>
              <w:t>地面冲洗废水</w:t>
            </w:r>
          </w:p>
        </w:tc>
        <w:tc>
          <w:tcPr>
            <w:tcW w:w="1985" w:type="dxa"/>
            <w:vMerge w:val="continue"/>
            <w:vAlign w:val="center"/>
          </w:tcPr>
          <w:p>
            <w:pPr>
              <w:adjustRightInd w:val="0"/>
              <w:snapToGrid w:val="0"/>
              <w:jc w:val="center"/>
              <w:rPr>
                <w:color w:val="auto"/>
                <w:szCs w:val="21"/>
              </w:rPr>
            </w:pPr>
          </w:p>
        </w:tc>
        <w:tc>
          <w:tcPr>
            <w:tcW w:w="2551" w:type="dxa"/>
            <w:vMerge w:val="continue"/>
            <w:vAlign w:val="center"/>
          </w:tcPr>
          <w:p>
            <w:pPr>
              <w:adjustRightInd w:val="0"/>
              <w:snapToGrid w:val="0"/>
              <w:jc w:val="center"/>
              <w:rPr>
                <w:color w:val="auto"/>
                <w:szCs w:val="21"/>
              </w:rPr>
            </w:pPr>
          </w:p>
        </w:tc>
        <w:tc>
          <w:tcPr>
            <w:tcW w:w="2291" w:type="dxa"/>
            <w:vMerge w:val="continue"/>
            <w:vAlign w:val="center"/>
          </w:tcPr>
          <w:p>
            <w:pPr>
              <w:adjustRightInd w:val="0"/>
              <w:snapToGrid w:val="0"/>
              <w:jc w:val="center"/>
              <w:rPr>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75" w:type="dxa"/>
            <w:vMerge w:val="restart"/>
            <w:vAlign w:val="center"/>
          </w:tcPr>
          <w:p>
            <w:pPr>
              <w:jc w:val="center"/>
              <w:rPr>
                <w:b/>
                <w:color w:val="auto"/>
                <w:szCs w:val="21"/>
              </w:rPr>
            </w:pPr>
            <w:r>
              <w:rPr>
                <w:b/>
                <w:color w:val="auto"/>
                <w:szCs w:val="21"/>
              </w:rPr>
              <w:t>固</w:t>
            </w:r>
          </w:p>
          <w:p>
            <w:pPr>
              <w:jc w:val="center"/>
              <w:rPr>
                <w:b/>
                <w:color w:val="auto"/>
                <w:szCs w:val="21"/>
              </w:rPr>
            </w:pPr>
            <w:r>
              <w:rPr>
                <w:b/>
                <w:color w:val="auto"/>
                <w:szCs w:val="21"/>
              </w:rPr>
              <w:t>体</w:t>
            </w:r>
          </w:p>
          <w:p>
            <w:pPr>
              <w:jc w:val="center"/>
              <w:rPr>
                <w:b/>
                <w:color w:val="auto"/>
                <w:szCs w:val="21"/>
              </w:rPr>
            </w:pPr>
            <w:r>
              <w:rPr>
                <w:b/>
                <w:color w:val="auto"/>
                <w:szCs w:val="21"/>
              </w:rPr>
              <w:t>废</w:t>
            </w:r>
          </w:p>
          <w:p>
            <w:pPr>
              <w:jc w:val="center"/>
              <w:rPr>
                <w:b/>
                <w:color w:val="auto"/>
                <w:szCs w:val="21"/>
              </w:rPr>
            </w:pPr>
            <w:r>
              <w:rPr>
                <w:b/>
                <w:color w:val="auto"/>
                <w:szCs w:val="21"/>
              </w:rPr>
              <w:t>物</w:t>
            </w:r>
          </w:p>
        </w:tc>
        <w:tc>
          <w:tcPr>
            <w:tcW w:w="666" w:type="dxa"/>
            <w:vMerge w:val="restart"/>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运营期</w:t>
            </w:r>
          </w:p>
        </w:tc>
        <w:tc>
          <w:tcPr>
            <w:tcW w:w="1694" w:type="dxa"/>
            <w:vMerge w:val="restart"/>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一般工业固废</w:t>
            </w:r>
          </w:p>
        </w:tc>
        <w:tc>
          <w:tcPr>
            <w:tcW w:w="1985" w:type="dxa"/>
            <w:vAlign w:val="center"/>
          </w:tcPr>
          <w:p>
            <w:pPr>
              <w:snapToGrid w:val="0"/>
              <w:rPr>
                <w:color w:val="auto"/>
              </w:rPr>
            </w:pPr>
            <w:r>
              <w:rPr>
                <w:bCs/>
                <w:color w:val="auto"/>
                <w:szCs w:val="21"/>
              </w:rPr>
              <w:t>废混凝土试验块</w:t>
            </w:r>
            <w:r>
              <w:rPr>
                <w:rFonts w:hint="eastAsia"/>
                <w:bCs/>
                <w:color w:val="auto"/>
                <w:szCs w:val="21"/>
              </w:rPr>
              <w:t>；</w:t>
            </w:r>
            <w:r>
              <w:rPr>
                <w:bCs/>
                <w:color w:val="auto"/>
                <w:szCs w:val="21"/>
              </w:rPr>
              <w:t>砂石分离机分离出的砂、石</w:t>
            </w:r>
          </w:p>
        </w:tc>
        <w:tc>
          <w:tcPr>
            <w:tcW w:w="2551" w:type="dxa"/>
            <w:vAlign w:val="center"/>
          </w:tcPr>
          <w:p>
            <w:pPr>
              <w:jc w:val="center"/>
              <w:rPr>
                <w:color w:val="auto"/>
                <w:szCs w:val="21"/>
              </w:rPr>
            </w:pPr>
            <w:r>
              <w:rPr>
                <w:snapToGrid w:val="0"/>
                <w:color w:val="auto"/>
                <w:kern w:val="0"/>
                <w:szCs w:val="21"/>
              </w:rPr>
              <w:t>收集后回用于生产</w:t>
            </w:r>
          </w:p>
        </w:tc>
        <w:tc>
          <w:tcPr>
            <w:tcW w:w="2291" w:type="dxa"/>
            <w:vMerge w:val="restart"/>
            <w:vAlign w:val="center"/>
          </w:tcPr>
          <w:p>
            <w:pPr>
              <w:spacing w:line="216" w:lineRule="auto"/>
              <w:jc w:val="center"/>
              <w:rPr>
                <w:color w:val="auto"/>
                <w:szCs w:val="21"/>
              </w:rPr>
            </w:pPr>
            <w:r>
              <w:rPr>
                <w:color w:val="auto"/>
                <w:szCs w:val="21"/>
              </w:rPr>
              <w:t>符合环保有关要求，对周围环境不会造成影响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5" w:type="dxa"/>
            <w:vMerge w:val="continue"/>
            <w:vAlign w:val="center"/>
          </w:tcPr>
          <w:p>
            <w:pPr>
              <w:jc w:val="center"/>
              <w:rPr>
                <w:b/>
                <w:color w:val="auto"/>
                <w:szCs w:val="21"/>
              </w:rPr>
            </w:pPr>
          </w:p>
        </w:tc>
        <w:tc>
          <w:tcPr>
            <w:tcW w:w="666" w:type="dxa"/>
            <w:vMerge w:val="continue"/>
            <w:vAlign w:val="center"/>
          </w:tcPr>
          <w:p>
            <w:pPr>
              <w:pStyle w:val="81"/>
              <w:rPr>
                <w:rFonts w:ascii="Times New Roman" w:hAnsi="Times New Roman"/>
                <w:color w:val="auto"/>
                <w:sz w:val="21"/>
                <w:szCs w:val="21"/>
              </w:rPr>
            </w:pPr>
          </w:p>
        </w:tc>
        <w:tc>
          <w:tcPr>
            <w:tcW w:w="1694" w:type="dxa"/>
            <w:vMerge w:val="continue"/>
            <w:vAlign w:val="center"/>
          </w:tcPr>
          <w:p>
            <w:pPr>
              <w:pStyle w:val="81"/>
              <w:rPr>
                <w:rFonts w:ascii="Times New Roman" w:hAnsi="Times New Roman"/>
                <w:color w:val="auto"/>
                <w:sz w:val="21"/>
                <w:szCs w:val="21"/>
              </w:rPr>
            </w:pPr>
          </w:p>
        </w:tc>
        <w:tc>
          <w:tcPr>
            <w:tcW w:w="1985" w:type="dxa"/>
            <w:vAlign w:val="center"/>
          </w:tcPr>
          <w:p>
            <w:pPr>
              <w:snapToGrid w:val="0"/>
              <w:jc w:val="center"/>
              <w:rPr>
                <w:color w:val="auto"/>
                <w:szCs w:val="21"/>
              </w:rPr>
            </w:pPr>
            <w:r>
              <w:rPr>
                <w:rFonts w:hint="eastAsia"/>
                <w:color w:val="auto"/>
                <w:szCs w:val="21"/>
              </w:rPr>
              <w:t>搅拌生产线</w:t>
            </w:r>
            <w:r>
              <w:rPr>
                <w:color w:val="auto"/>
                <w:szCs w:val="21"/>
              </w:rPr>
              <w:t>粉尘</w:t>
            </w:r>
          </w:p>
        </w:tc>
        <w:tc>
          <w:tcPr>
            <w:tcW w:w="2551" w:type="dxa"/>
            <w:vAlign w:val="center"/>
          </w:tcPr>
          <w:p>
            <w:pPr>
              <w:pStyle w:val="81"/>
              <w:rPr>
                <w:rFonts w:ascii="Times New Roman" w:hAnsi="Times New Roman"/>
                <w:color w:val="auto"/>
                <w:kern w:val="2"/>
                <w:sz w:val="21"/>
                <w:szCs w:val="21"/>
              </w:rPr>
            </w:pPr>
            <w:r>
              <w:rPr>
                <w:rFonts w:ascii="Times New Roman" w:hAnsi="Times New Roman"/>
                <w:color w:val="auto"/>
                <w:kern w:val="2"/>
                <w:sz w:val="21"/>
                <w:szCs w:val="21"/>
              </w:rPr>
              <w:t>收集后回用于生产</w:t>
            </w:r>
          </w:p>
        </w:tc>
        <w:tc>
          <w:tcPr>
            <w:tcW w:w="2291" w:type="dxa"/>
            <w:vMerge w:val="continue"/>
            <w:vAlign w:val="center"/>
          </w:tcPr>
          <w:p>
            <w:pPr>
              <w:pStyle w:val="81"/>
              <w:rPr>
                <w:rFonts w:ascii="Times New Roman" w:hAnsi="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5" w:type="dxa"/>
            <w:vMerge w:val="continue"/>
            <w:vAlign w:val="center"/>
          </w:tcPr>
          <w:p>
            <w:pPr>
              <w:jc w:val="center"/>
              <w:rPr>
                <w:b/>
                <w:color w:val="auto"/>
                <w:szCs w:val="21"/>
              </w:rPr>
            </w:pPr>
          </w:p>
        </w:tc>
        <w:tc>
          <w:tcPr>
            <w:tcW w:w="666" w:type="dxa"/>
            <w:vMerge w:val="continue"/>
            <w:vAlign w:val="center"/>
          </w:tcPr>
          <w:p>
            <w:pPr>
              <w:pStyle w:val="81"/>
              <w:rPr>
                <w:rFonts w:ascii="Times New Roman" w:hAnsi="Times New Roman"/>
                <w:color w:val="auto"/>
                <w:sz w:val="21"/>
                <w:szCs w:val="21"/>
              </w:rPr>
            </w:pPr>
          </w:p>
        </w:tc>
        <w:tc>
          <w:tcPr>
            <w:tcW w:w="1694" w:type="dxa"/>
            <w:vMerge w:val="continue"/>
            <w:vAlign w:val="center"/>
          </w:tcPr>
          <w:p>
            <w:pPr>
              <w:pStyle w:val="81"/>
              <w:rPr>
                <w:rFonts w:ascii="Times New Roman" w:hAnsi="Times New Roman"/>
                <w:color w:val="auto"/>
                <w:sz w:val="21"/>
                <w:szCs w:val="21"/>
              </w:rPr>
            </w:pPr>
          </w:p>
        </w:tc>
        <w:tc>
          <w:tcPr>
            <w:tcW w:w="1985" w:type="dxa"/>
            <w:vAlign w:val="center"/>
          </w:tcPr>
          <w:p>
            <w:pPr>
              <w:snapToGrid w:val="0"/>
              <w:jc w:val="center"/>
              <w:rPr>
                <w:color w:val="auto"/>
                <w:szCs w:val="21"/>
              </w:rPr>
            </w:pPr>
            <w:r>
              <w:rPr>
                <w:rFonts w:hint="eastAsia"/>
                <w:color w:val="auto"/>
                <w:szCs w:val="21"/>
              </w:rPr>
              <w:t>制砂生产线收集石</w:t>
            </w:r>
            <w:r>
              <w:rPr>
                <w:color w:val="auto"/>
                <w:szCs w:val="21"/>
              </w:rPr>
              <w:t>粉（</w:t>
            </w:r>
            <w:r>
              <w:rPr>
                <w:rFonts w:hint="eastAsia"/>
                <w:color w:val="auto"/>
                <w:szCs w:val="21"/>
              </w:rPr>
              <w:t>粉</w:t>
            </w:r>
            <w:r>
              <w:rPr>
                <w:color w:val="auto"/>
                <w:szCs w:val="21"/>
              </w:rPr>
              <w:t>尘）</w:t>
            </w:r>
          </w:p>
        </w:tc>
        <w:tc>
          <w:tcPr>
            <w:tcW w:w="2551" w:type="dxa"/>
            <w:vAlign w:val="center"/>
          </w:tcPr>
          <w:p>
            <w:pPr>
              <w:pStyle w:val="81"/>
              <w:rPr>
                <w:rFonts w:ascii="Times New Roman" w:hAnsi="Times New Roman"/>
                <w:color w:val="auto"/>
                <w:kern w:val="2"/>
                <w:sz w:val="21"/>
                <w:szCs w:val="21"/>
              </w:rPr>
            </w:pPr>
            <w:r>
              <w:rPr>
                <w:rFonts w:hint="eastAsia" w:ascii="Times New Roman" w:hAnsi="Times New Roman"/>
                <w:color w:val="auto"/>
                <w:kern w:val="2"/>
                <w:sz w:val="21"/>
                <w:szCs w:val="21"/>
              </w:rPr>
              <w:t>外售给砖厂制砂</w:t>
            </w:r>
          </w:p>
        </w:tc>
        <w:tc>
          <w:tcPr>
            <w:tcW w:w="2291" w:type="dxa"/>
            <w:vMerge w:val="continue"/>
            <w:vAlign w:val="center"/>
          </w:tcPr>
          <w:p>
            <w:pPr>
              <w:pStyle w:val="81"/>
              <w:rPr>
                <w:rFonts w:ascii="Times New Roman" w:hAnsi="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5" w:type="dxa"/>
            <w:vMerge w:val="continue"/>
            <w:vAlign w:val="center"/>
          </w:tcPr>
          <w:p>
            <w:pPr>
              <w:jc w:val="center"/>
              <w:rPr>
                <w:b/>
                <w:color w:val="auto"/>
                <w:szCs w:val="21"/>
              </w:rPr>
            </w:pPr>
          </w:p>
        </w:tc>
        <w:tc>
          <w:tcPr>
            <w:tcW w:w="666" w:type="dxa"/>
            <w:vMerge w:val="continue"/>
            <w:vAlign w:val="center"/>
          </w:tcPr>
          <w:p>
            <w:pPr>
              <w:pStyle w:val="81"/>
              <w:rPr>
                <w:rFonts w:ascii="Times New Roman" w:hAnsi="Times New Roman"/>
                <w:color w:val="auto"/>
                <w:sz w:val="21"/>
                <w:szCs w:val="21"/>
              </w:rPr>
            </w:pPr>
          </w:p>
        </w:tc>
        <w:tc>
          <w:tcPr>
            <w:tcW w:w="1694" w:type="dxa"/>
            <w:vMerge w:val="continue"/>
            <w:vAlign w:val="center"/>
          </w:tcPr>
          <w:p>
            <w:pPr>
              <w:pStyle w:val="81"/>
              <w:rPr>
                <w:rFonts w:ascii="Times New Roman" w:hAnsi="Times New Roman"/>
                <w:color w:val="auto"/>
                <w:sz w:val="21"/>
                <w:szCs w:val="21"/>
              </w:rPr>
            </w:pPr>
          </w:p>
        </w:tc>
        <w:tc>
          <w:tcPr>
            <w:tcW w:w="1985" w:type="dxa"/>
            <w:vAlign w:val="center"/>
          </w:tcPr>
          <w:p>
            <w:pPr>
              <w:snapToGrid w:val="0"/>
              <w:jc w:val="center"/>
              <w:rPr>
                <w:color w:val="auto"/>
                <w:szCs w:val="21"/>
              </w:rPr>
            </w:pPr>
            <w:r>
              <w:rPr>
                <w:rFonts w:hint="eastAsia"/>
                <w:color w:val="auto"/>
                <w:szCs w:val="21"/>
              </w:rPr>
              <w:t>生产</w:t>
            </w:r>
            <w:r>
              <w:rPr>
                <w:color w:val="auto"/>
                <w:szCs w:val="21"/>
              </w:rPr>
              <w:t>废水沉淀</w:t>
            </w:r>
            <w:r>
              <w:rPr>
                <w:rFonts w:hint="eastAsia"/>
                <w:color w:val="auto"/>
                <w:szCs w:val="21"/>
              </w:rPr>
              <w:t>沉</w:t>
            </w:r>
            <w:r>
              <w:rPr>
                <w:color w:val="auto"/>
                <w:szCs w:val="21"/>
              </w:rPr>
              <w:t>渣</w:t>
            </w:r>
          </w:p>
        </w:tc>
        <w:tc>
          <w:tcPr>
            <w:tcW w:w="2551" w:type="dxa"/>
            <w:vAlign w:val="center"/>
          </w:tcPr>
          <w:p>
            <w:pPr>
              <w:pStyle w:val="81"/>
              <w:rPr>
                <w:rFonts w:ascii="Times New Roman" w:hAnsi="Times New Roman"/>
                <w:color w:val="auto"/>
                <w:kern w:val="2"/>
                <w:sz w:val="21"/>
                <w:szCs w:val="21"/>
              </w:rPr>
            </w:pPr>
            <w:r>
              <w:rPr>
                <w:rFonts w:hint="eastAsia" w:ascii="Times New Roman" w:hAnsi="Times New Roman"/>
                <w:color w:val="auto"/>
                <w:kern w:val="2"/>
                <w:sz w:val="21"/>
                <w:szCs w:val="21"/>
              </w:rPr>
              <w:t>回用</w:t>
            </w:r>
            <w:r>
              <w:rPr>
                <w:rFonts w:ascii="Times New Roman" w:hAnsi="Times New Roman"/>
                <w:color w:val="auto"/>
                <w:kern w:val="2"/>
                <w:sz w:val="21"/>
                <w:szCs w:val="21"/>
              </w:rPr>
              <w:t>于生产</w:t>
            </w:r>
          </w:p>
        </w:tc>
        <w:tc>
          <w:tcPr>
            <w:tcW w:w="2291" w:type="dxa"/>
            <w:vMerge w:val="continue"/>
            <w:vAlign w:val="center"/>
          </w:tcPr>
          <w:p>
            <w:pPr>
              <w:pStyle w:val="81"/>
              <w:rPr>
                <w:rFonts w:ascii="Times New Roman" w:hAnsi="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5" w:type="dxa"/>
            <w:vMerge w:val="continue"/>
            <w:vAlign w:val="center"/>
          </w:tcPr>
          <w:p>
            <w:pPr>
              <w:jc w:val="center"/>
              <w:rPr>
                <w:b/>
                <w:color w:val="auto"/>
                <w:szCs w:val="21"/>
              </w:rPr>
            </w:pPr>
          </w:p>
        </w:tc>
        <w:tc>
          <w:tcPr>
            <w:tcW w:w="666" w:type="dxa"/>
            <w:vMerge w:val="continue"/>
          </w:tcPr>
          <w:p>
            <w:pPr>
              <w:pStyle w:val="81"/>
              <w:rPr>
                <w:rFonts w:ascii="Times New Roman" w:hAnsi="Times New Roman"/>
                <w:color w:val="auto"/>
                <w:sz w:val="21"/>
                <w:szCs w:val="21"/>
              </w:rPr>
            </w:pPr>
          </w:p>
        </w:tc>
        <w:tc>
          <w:tcPr>
            <w:tcW w:w="1694" w:type="dxa"/>
            <w:vMerge w:val="continue"/>
            <w:vAlign w:val="center"/>
          </w:tcPr>
          <w:p>
            <w:pPr>
              <w:pStyle w:val="81"/>
              <w:rPr>
                <w:rFonts w:ascii="Times New Roman" w:hAnsi="Times New Roman"/>
                <w:color w:val="auto"/>
                <w:sz w:val="21"/>
                <w:szCs w:val="21"/>
              </w:rPr>
            </w:pPr>
          </w:p>
        </w:tc>
        <w:tc>
          <w:tcPr>
            <w:tcW w:w="1985" w:type="dxa"/>
            <w:vAlign w:val="center"/>
          </w:tcPr>
          <w:p>
            <w:pPr>
              <w:snapToGrid w:val="0"/>
              <w:jc w:val="center"/>
              <w:rPr>
                <w:color w:val="auto"/>
                <w:szCs w:val="21"/>
              </w:rPr>
            </w:pPr>
            <w:r>
              <w:rPr>
                <w:rFonts w:hint="eastAsia"/>
                <w:color w:val="auto"/>
                <w:szCs w:val="21"/>
              </w:rPr>
              <w:t>员</w:t>
            </w:r>
            <w:r>
              <w:rPr>
                <w:color w:val="auto"/>
                <w:szCs w:val="21"/>
              </w:rPr>
              <w:t>工生活垃圾</w:t>
            </w:r>
          </w:p>
        </w:tc>
        <w:tc>
          <w:tcPr>
            <w:tcW w:w="2551" w:type="dxa"/>
            <w:vAlign w:val="center"/>
          </w:tcPr>
          <w:p>
            <w:pPr>
              <w:pStyle w:val="81"/>
              <w:rPr>
                <w:rFonts w:ascii="Times New Roman" w:hAnsi="Times New Roman"/>
                <w:color w:val="auto"/>
                <w:szCs w:val="21"/>
              </w:rPr>
            </w:pPr>
            <w:r>
              <w:rPr>
                <w:rFonts w:ascii="Times New Roman" w:hAnsi="Times New Roman"/>
                <w:color w:val="auto"/>
                <w:kern w:val="2"/>
                <w:sz w:val="21"/>
                <w:szCs w:val="21"/>
              </w:rPr>
              <w:t>环卫部门处理</w:t>
            </w:r>
          </w:p>
        </w:tc>
        <w:tc>
          <w:tcPr>
            <w:tcW w:w="2291" w:type="dxa"/>
            <w:vMerge w:val="continue"/>
            <w:vAlign w:val="center"/>
          </w:tcPr>
          <w:p>
            <w:pPr>
              <w:pStyle w:val="81"/>
              <w:rPr>
                <w:rFonts w:ascii="Times New Roman" w:hAnsi="Times New Roman"/>
                <w:color w:val="auto"/>
                <w:kern w:val="2"/>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75" w:type="dxa"/>
            <w:vAlign w:val="center"/>
          </w:tcPr>
          <w:p>
            <w:pPr>
              <w:jc w:val="center"/>
              <w:rPr>
                <w:b/>
                <w:color w:val="auto"/>
                <w:szCs w:val="21"/>
              </w:rPr>
            </w:pPr>
            <w:r>
              <w:rPr>
                <w:b/>
                <w:color w:val="auto"/>
                <w:szCs w:val="21"/>
              </w:rPr>
              <w:t>噪</w:t>
            </w:r>
          </w:p>
          <w:p>
            <w:pPr>
              <w:jc w:val="center"/>
              <w:rPr>
                <w:b/>
                <w:color w:val="auto"/>
                <w:szCs w:val="21"/>
              </w:rPr>
            </w:pPr>
            <w:r>
              <w:rPr>
                <w:b/>
                <w:color w:val="auto"/>
                <w:szCs w:val="21"/>
              </w:rPr>
              <w:t>声</w:t>
            </w:r>
          </w:p>
        </w:tc>
        <w:tc>
          <w:tcPr>
            <w:tcW w:w="666" w:type="dxa"/>
            <w:vAlign w:val="center"/>
          </w:tcPr>
          <w:p>
            <w:pPr>
              <w:jc w:val="center"/>
              <w:rPr>
                <w:color w:val="auto"/>
                <w:szCs w:val="21"/>
              </w:rPr>
            </w:pPr>
            <w:r>
              <w:rPr>
                <w:color w:val="auto"/>
                <w:szCs w:val="21"/>
              </w:rPr>
              <w:t>运营期</w:t>
            </w:r>
          </w:p>
        </w:tc>
        <w:tc>
          <w:tcPr>
            <w:tcW w:w="1694" w:type="dxa"/>
            <w:vAlign w:val="center"/>
          </w:tcPr>
          <w:p>
            <w:pPr>
              <w:jc w:val="center"/>
              <w:rPr>
                <w:color w:val="auto"/>
                <w:szCs w:val="21"/>
              </w:rPr>
            </w:pPr>
            <w:r>
              <w:rPr>
                <w:color w:val="auto"/>
                <w:szCs w:val="21"/>
              </w:rPr>
              <w:t>营运期噪声</w:t>
            </w:r>
          </w:p>
        </w:tc>
        <w:tc>
          <w:tcPr>
            <w:tcW w:w="6827" w:type="dxa"/>
            <w:gridSpan w:val="3"/>
            <w:vAlign w:val="center"/>
          </w:tcPr>
          <w:p>
            <w:pPr>
              <w:jc w:val="left"/>
              <w:rPr>
                <w:color w:val="auto"/>
                <w:szCs w:val="21"/>
              </w:rPr>
            </w:pPr>
            <w:r>
              <w:rPr>
                <w:color w:val="auto"/>
                <w:szCs w:val="21"/>
              </w:rPr>
              <w:t>通过对噪声源采取适当隔音、降噪措施、加强绿化，使得项目产生的噪声</w:t>
            </w:r>
            <w:r>
              <w:rPr>
                <w:rFonts w:hint="eastAsia"/>
                <w:color w:val="auto"/>
                <w:szCs w:val="21"/>
              </w:rPr>
              <w:t>在</w:t>
            </w:r>
            <w:r>
              <w:rPr>
                <w:color w:val="auto"/>
                <w:szCs w:val="21"/>
              </w:rPr>
              <w:t>厂界</w:t>
            </w:r>
            <w:r>
              <w:rPr>
                <w:rFonts w:hint="eastAsia"/>
                <w:color w:val="auto"/>
                <w:szCs w:val="21"/>
              </w:rPr>
              <w:t>各侧</w:t>
            </w:r>
            <w:r>
              <w:rPr>
                <w:color w:val="auto"/>
                <w:szCs w:val="21"/>
              </w:rPr>
              <w:t>均达到《工业企业厂界环境噪声排放标准》（GB12348-2008）中的2类标准。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9" w:hRule="atLeast"/>
          <w:jc w:val="center"/>
        </w:trPr>
        <w:tc>
          <w:tcPr>
            <w:tcW w:w="10162" w:type="dxa"/>
            <w:gridSpan w:val="6"/>
          </w:tcPr>
          <w:p>
            <w:pPr>
              <w:spacing w:line="360" w:lineRule="auto"/>
              <w:rPr>
                <w:color w:val="auto"/>
                <w:sz w:val="24"/>
              </w:rPr>
            </w:pPr>
            <w:r>
              <w:rPr>
                <w:color w:val="auto"/>
                <w:sz w:val="24"/>
              </w:rPr>
              <w:t>生态保护措施及预期效果：</w:t>
            </w:r>
          </w:p>
          <w:p>
            <w:pPr>
              <w:spacing w:line="360" w:lineRule="auto"/>
              <w:ind w:firstLine="480" w:firstLineChars="200"/>
              <w:rPr>
                <w:color w:val="auto"/>
                <w:sz w:val="24"/>
              </w:rPr>
            </w:pPr>
            <w:r>
              <w:rPr>
                <w:color w:val="auto"/>
                <w:sz w:val="24"/>
              </w:rPr>
              <w:t>1、合理厂区内的生产布局，防治内环境的污染。</w:t>
            </w:r>
          </w:p>
          <w:p>
            <w:pPr>
              <w:spacing w:line="360" w:lineRule="auto"/>
              <w:ind w:firstLine="480" w:firstLineChars="200"/>
              <w:rPr>
                <w:color w:val="auto"/>
                <w:sz w:val="24"/>
              </w:rPr>
            </w:pPr>
            <w:r>
              <w:rPr>
                <w:color w:val="auto"/>
                <w:sz w:val="24"/>
              </w:rPr>
              <w:t>2、按上述措施对各种污染物进行有效的治理，可降低其对周围生态环境的影响，并搞好周围的绿化、美化，以减少对附近区域生态环境的影响。</w:t>
            </w:r>
          </w:p>
          <w:p>
            <w:pPr>
              <w:spacing w:line="360" w:lineRule="auto"/>
              <w:ind w:firstLine="480" w:firstLineChars="200"/>
              <w:rPr>
                <w:color w:val="auto"/>
                <w:sz w:val="24"/>
              </w:rPr>
            </w:pPr>
            <w:r>
              <w:rPr>
                <w:color w:val="auto"/>
                <w:sz w:val="24"/>
              </w:rPr>
              <w:t>3、实施清洁生产，从源头到污染物的排放全过程控制，实现节能、降耗、减污、增效的目标。</w:t>
            </w: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p>
            <w:pPr>
              <w:pStyle w:val="2"/>
              <w:ind w:firstLine="0" w:firstLineChars="0"/>
              <w:rPr>
                <w:color w:val="auto"/>
                <w:szCs w:val="21"/>
              </w:rPr>
            </w:pPr>
          </w:p>
        </w:tc>
      </w:tr>
    </w:tbl>
    <w:p>
      <w:pPr>
        <w:pStyle w:val="3"/>
        <w:spacing w:line="360" w:lineRule="auto"/>
        <w:jc w:val="both"/>
        <w:rPr>
          <w:b/>
          <w:bCs/>
          <w:color w:val="auto"/>
          <w:kern w:val="44"/>
          <w:sz w:val="30"/>
          <w:szCs w:val="30"/>
        </w:rPr>
      </w:pPr>
      <w:r>
        <w:rPr>
          <w:b/>
          <w:bCs/>
          <w:color w:val="auto"/>
          <w:kern w:val="44"/>
          <w:sz w:val="30"/>
          <w:szCs w:val="30"/>
        </w:rPr>
        <w:t>九、结论与建议</w:t>
      </w:r>
    </w:p>
    <w:tbl>
      <w:tblPr>
        <w:tblStyle w:val="29"/>
        <w:tblW w:w="93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11"/>
        <w:gridCol w:w="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jc w:val="center"/>
        </w:trPr>
        <w:tc>
          <w:tcPr>
            <w:tcW w:w="9320" w:type="dxa"/>
            <w:gridSpan w:val="2"/>
          </w:tcPr>
          <w:p>
            <w:pPr>
              <w:adjustRightInd w:val="0"/>
              <w:snapToGrid w:val="0"/>
              <w:spacing w:line="360" w:lineRule="auto"/>
              <w:ind w:firstLine="482"/>
              <w:rPr>
                <w:b/>
                <w:bCs/>
                <w:color w:val="auto"/>
                <w:sz w:val="24"/>
              </w:rPr>
            </w:pPr>
            <w:r>
              <w:rPr>
                <w:b/>
                <w:bCs/>
                <w:color w:val="auto"/>
                <w:sz w:val="24"/>
              </w:rPr>
              <w:t>一、项目基本情况</w:t>
            </w:r>
          </w:p>
          <w:p>
            <w:pPr>
              <w:adjustRightInd w:val="0"/>
              <w:snapToGrid w:val="0"/>
              <w:spacing w:line="360" w:lineRule="auto"/>
              <w:ind w:firstLine="480" w:firstLineChars="200"/>
              <w:rPr>
                <w:color w:val="auto"/>
                <w:sz w:val="24"/>
              </w:rPr>
            </w:pPr>
            <w:r>
              <w:rPr>
                <w:rFonts w:hint="eastAsia"/>
                <w:color w:val="auto"/>
                <w:sz w:val="24"/>
                <w:lang w:val="zh-CN"/>
              </w:rPr>
              <w:t>本</w:t>
            </w:r>
            <w:r>
              <w:rPr>
                <w:color w:val="auto"/>
                <w:sz w:val="24"/>
                <w:lang w:val="zh-CN"/>
              </w:rPr>
              <w:t>项目所在位置为</w:t>
            </w:r>
            <w:r>
              <w:rPr>
                <w:rFonts w:hint="eastAsia" w:ascii="Arial" w:hAnsi="Arial"/>
                <w:color w:val="auto"/>
                <w:sz w:val="24"/>
              </w:rPr>
              <w:t>普宁市军埠镇大长陇工业区</w:t>
            </w:r>
            <w:r>
              <w:rPr>
                <w:rFonts w:hint="eastAsia"/>
                <w:color w:val="auto"/>
                <w:sz w:val="24"/>
              </w:rPr>
              <w:t>荣祥</w:t>
            </w:r>
            <w:r>
              <w:rPr>
                <w:color w:val="auto"/>
                <w:sz w:val="24"/>
              </w:rPr>
              <w:t>楼</w:t>
            </w:r>
            <w:r>
              <w:rPr>
                <w:rFonts w:hint="eastAsia"/>
                <w:color w:val="auto"/>
                <w:sz w:val="24"/>
              </w:rPr>
              <w:t>（地理坐标为中心经纬度：N23.249935°、E116.281566°)，占地面积</w:t>
            </w:r>
            <w:r>
              <w:rPr>
                <w:color w:val="auto"/>
                <w:sz w:val="24"/>
              </w:rPr>
              <w:t>10000</w:t>
            </w:r>
            <w:r>
              <w:rPr>
                <w:rFonts w:hint="eastAsia"/>
                <w:color w:val="auto"/>
                <w:sz w:val="24"/>
              </w:rPr>
              <w:t>m</w:t>
            </w:r>
            <w:r>
              <w:rPr>
                <w:rFonts w:hint="eastAsia"/>
                <w:color w:val="auto"/>
                <w:sz w:val="24"/>
                <w:vertAlign w:val="superscript"/>
              </w:rPr>
              <w:t>2</w:t>
            </w:r>
            <w:r>
              <w:rPr>
                <w:rFonts w:hint="eastAsia"/>
                <w:color w:val="auto"/>
                <w:sz w:val="24"/>
              </w:rPr>
              <w:t>，建筑面积</w:t>
            </w:r>
            <w:r>
              <w:rPr>
                <w:color w:val="auto"/>
                <w:sz w:val="24"/>
              </w:rPr>
              <w:t>3000m</w:t>
            </w:r>
            <w:r>
              <w:rPr>
                <w:rFonts w:hint="eastAsia"/>
                <w:color w:val="auto"/>
                <w:sz w:val="24"/>
                <w:vertAlign w:val="superscript"/>
              </w:rPr>
              <w:t>2</w:t>
            </w:r>
            <w:r>
              <w:rPr>
                <w:rFonts w:hint="eastAsia"/>
                <w:color w:val="auto"/>
                <w:sz w:val="24"/>
              </w:rPr>
              <w:t>。项目</w:t>
            </w:r>
            <w:r>
              <w:rPr>
                <w:color w:val="auto"/>
                <w:sz w:val="24"/>
              </w:rPr>
              <w:t>总投资</w:t>
            </w:r>
            <w:r>
              <w:rPr>
                <w:rFonts w:hint="eastAsia"/>
                <w:color w:val="auto"/>
                <w:sz w:val="24"/>
              </w:rPr>
              <w:t>1512万</w:t>
            </w:r>
            <w:r>
              <w:rPr>
                <w:color w:val="auto"/>
                <w:sz w:val="24"/>
              </w:rPr>
              <w:t>元，其中环保投资150</w:t>
            </w:r>
            <w:r>
              <w:rPr>
                <w:rFonts w:hint="eastAsia"/>
                <w:color w:val="auto"/>
                <w:sz w:val="24"/>
              </w:rPr>
              <w:t>万元</w:t>
            </w:r>
            <w:r>
              <w:rPr>
                <w:color w:val="auto"/>
                <w:sz w:val="24"/>
              </w:rPr>
              <w:t>。主要从事商品混凝土</w:t>
            </w:r>
            <w:r>
              <w:rPr>
                <w:rFonts w:hint="eastAsia"/>
                <w:color w:val="auto"/>
                <w:sz w:val="24"/>
              </w:rPr>
              <w:t>及</w:t>
            </w:r>
            <w:r>
              <w:rPr>
                <w:color w:val="auto"/>
                <w:sz w:val="24"/>
              </w:rPr>
              <w:t>机制砂生产，</w:t>
            </w:r>
            <w:r>
              <w:rPr>
                <w:rFonts w:hint="eastAsia"/>
                <w:color w:val="auto"/>
                <w:sz w:val="24"/>
              </w:rPr>
              <w:t>项目年产商品混凝土</w:t>
            </w:r>
            <w:r>
              <w:rPr>
                <w:color w:val="auto"/>
                <w:sz w:val="24"/>
              </w:rPr>
              <w:t>32</w:t>
            </w:r>
            <w:r>
              <w:rPr>
                <w:rFonts w:hint="eastAsia"/>
                <w:color w:val="auto"/>
                <w:sz w:val="24"/>
              </w:rPr>
              <w:t>万吨。</w:t>
            </w:r>
          </w:p>
          <w:p>
            <w:pPr>
              <w:adjustRightInd w:val="0"/>
              <w:snapToGrid w:val="0"/>
              <w:spacing w:line="360" w:lineRule="auto"/>
              <w:ind w:firstLine="482"/>
              <w:rPr>
                <w:b/>
                <w:bCs/>
                <w:color w:val="auto"/>
                <w:sz w:val="24"/>
              </w:rPr>
            </w:pPr>
            <w:r>
              <w:rPr>
                <w:b/>
                <w:bCs/>
                <w:color w:val="auto"/>
                <w:sz w:val="24"/>
              </w:rPr>
              <w:t>二、环境质量现状</w:t>
            </w:r>
          </w:p>
          <w:p>
            <w:pPr>
              <w:adjustRightInd w:val="0"/>
              <w:snapToGrid w:val="0"/>
              <w:spacing w:line="360" w:lineRule="auto"/>
              <w:ind w:firstLine="480" w:firstLineChars="200"/>
              <w:rPr>
                <w:color w:val="auto"/>
                <w:sz w:val="24"/>
              </w:rPr>
            </w:pPr>
            <w:r>
              <w:rPr>
                <w:color w:val="auto"/>
                <w:sz w:val="24"/>
              </w:rPr>
              <w:t>（1）从环境空气监测数据及结果分析可见</w:t>
            </w:r>
            <w:r>
              <w:rPr>
                <w:color w:val="auto"/>
              </w:rPr>
              <w:t>，</w:t>
            </w:r>
            <w:r>
              <w:rPr>
                <w:color w:val="auto"/>
                <w:sz w:val="24"/>
              </w:rPr>
              <w:t>评价区域内各评价指标基本符合《环境空气质量标准》(GB3095-2012)2018年修改单二级标准的限值，说明项目区域的环境空气质量良好。</w:t>
            </w:r>
          </w:p>
          <w:p>
            <w:pPr>
              <w:snapToGrid w:val="0"/>
              <w:spacing w:line="360" w:lineRule="auto"/>
              <w:ind w:firstLine="480" w:firstLineChars="200"/>
              <w:rPr>
                <w:color w:val="auto"/>
                <w:sz w:val="24"/>
              </w:rPr>
            </w:pPr>
            <w:r>
              <w:rPr>
                <w:color w:val="auto"/>
                <w:sz w:val="24"/>
              </w:rPr>
              <w:t>（2）地表水环境质量练江执行《地表水环境质量标准》（GB3838-2002）</w:t>
            </w:r>
            <w:r>
              <w:rPr>
                <w:bCs/>
                <w:color w:val="auto"/>
                <w:sz w:val="24"/>
              </w:rPr>
              <w:t>V</w:t>
            </w:r>
            <w:r>
              <w:rPr>
                <w:color w:val="auto"/>
                <w:sz w:val="24"/>
              </w:rPr>
              <w:t>类标准。</w:t>
            </w:r>
            <w:r>
              <w:rPr>
                <w:bCs/>
                <w:color w:val="auto"/>
                <w:sz w:val="24"/>
              </w:rPr>
              <w:t>地表水环境质量现状监测与评价表明，</w:t>
            </w:r>
            <w:r>
              <w:rPr>
                <w:rFonts w:hint="eastAsia"/>
                <w:bCs/>
                <w:color w:val="auto"/>
                <w:sz w:val="24"/>
              </w:rPr>
              <w:t>练江监测断面除氨氮、总磷外，其余指标均达到《地表水环境质量标准》(GB3838-2002)V类水质标准，SS指标达到《农田灌溉水质标准》(GB 5084-2005)中蔬菜灌溉用水水质标准限值。超标原因主要是河流两侧分布着大面积农田，农田施肥可能引起的污染物浓度提升导致。</w:t>
            </w:r>
          </w:p>
          <w:p>
            <w:pPr>
              <w:adjustRightInd w:val="0"/>
              <w:snapToGrid w:val="0"/>
              <w:spacing w:line="360" w:lineRule="auto"/>
              <w:ind w:firstLine="431"/>
              <w:rPr>
                <w:color w:val="auto"/>
                <w:sz w:val="24"/>
              </w:rPr>
            </w:pPr>
            <w:r>
              <w:rPr>
                <w:color w:val="auto"/>
                <w:sz w:val="24"/>
              </w:rPr>
              <w:t>（3）根据监测结果，项目监测点噪声值均达到</w:t>
            </w:r>
            <w:r>
              <w:rPr>
                <w:snapToGrid w:val="0"/>
                <w:color w:val="auto"/>
                <w:kern w:val="0"/>
                <w:sz w:val="24"/>
              </w:rPr>
              <w:t>《声环境质量标准》（GB3096—2008）2类标准。</w:t>
            </w:r>
          </w:p>
          <w:p>
            <w:pPr>
              <w:adjustRightInd w:val="0"/>
              <w:snapToGrid w:val="0"/>
              <w:spacing w:line="360" w:lineRule="auto"/>
              <w:ind w:firstLine="482"/>
              <w:rPr>
                <w:b/>
                <w:bCs/>
                <w:color w:val="auto"/>
                <w:sz w:val="24"/>
              </w:rPr>
            </w:pPr>
            <w:bookmarkStart w:id="77" w:name="_Toc407028273"/>
            <w:r>
              <w:rPr>
                <w:b/>
                <w:bCs/>
                <w:color w:val="auto"/>
                <w:sz w:val="24"/>
              </w:rPr>
              <w:t>三、环境影响评价结论</w:t>
            </w:r>
          </w:p>
          <w:p>
            <w:pPr>
              <w:adjustRightInd w:val="0"/>
              <w:snapToGrid w:val="0"/>
              <w:spacing w:line="360" w:lineRule="auto"/>
              <w:ind w:firstLine="482"/>
              <w:rPr>
                <w:b/>
                <w:bCs/>
                <w:color w:val="auto"/>
                <w:sz w:val="24"/>
              </w:rPr>
            </w:pPr>
            <w:r>
              <w:rPr>
                <w:b/>
                <w:bCs/>
                <w:color w:val="auto"/>
                <w:sz w:val="24"/>
              </w:rPr>
              <w:t>1、环境空气影响评价结论</w:t>
            </w:r>
          </w:p>
          <w:bookmarkEnd w:id="77"/>
          <w:p>
            <w:pPr>
              <w:snapToGrid w:val="0"/>
              <w:spacing w:line="360" w:lineRule="auto"/>
              <w:ind w:firstLine="480" w:firstLineChars="200"/>
              <w:rPr>
                <w:color w:val="auto"/>
                <w:sz w:val="24"/>
              </w:rPr>
            </w:pPr>
            <w:r>
              <w:rPr>
                <w:color w:val="auto"/>
                <w:sz w:val="24"/>
              </w:rPr>
              <w:t>项目产生的废气主要以粉尘为主，通过对沙石料场设三面围档及顶棚；原料的输送、计量、投料等均采用定期洒水和封闭式连续操作；混凝土及制砂生产工序粉尘经</w:t>
            </w:r>
            <w:r>
              <w:rPr>
                <w:rFonts w:hint="eastAsia"/>
                <w:color w:val="auto"/>
                <w:sz w:val="24"/>
              </w:rPr>
              <w:t>布</w:t>
            </w:r>
            <w:r>
              <w:rPr>
                <w:color w:val="auto"/>
                <w:sz w:val="24"/>
              </w:rPr>
              <w:t>袋式除尘器处理后排放；限制进厂内车辆车速，定期对厂区地面洒水和清洁，场内配套除尘雾泡机抑尘，使</w:t>
            </w:r>
            <w:r>
              <w:rPr>
                <w:rFonts w:hint="eastAsia"/>
                <w:color w:val="auto"/>
                <w:sz w:val="24"/>
              </w:rPr>
              <w:t>混</w:t>
            </w:r>
            <w:r>
              <w:rPr>
                <w:color w:val="auto"/>
                <w:sz w:val="24"/>
              </w:rPr>
              <w:t>凝土生产线粉尘有组织排放浓度能达到《水泥工业大气污染物排放标准》（GB 4915-2013）中表2中散装水泥中转站及水泥制品生产的颗粒物排放限值，</w:t>
            </w:r>
            <w:r>
              <w:rPr>
                <w:rFonts w:hint="eastAsia"/>
                <w:color w:val="auto"/>
                <w:sz w:val="24"/>
              </w:rPr>
              <w:t>机</w:t>
            </w:r>
            <w:r>
              <w:rPr>
                <w:color w:val="auto"/>
                <w:sz w:val="24"/>
              </w:rPr>
              <w:t>制砂生产线</w:t>
            </w:r>
            <w:r>
              <w:rPr>
                <w:rFonts w:hint="eastAsia"/>
                <w:color w:val="auto"/>
                <w:sz w:val="24"/>
              </w:rPr>
              <w:t>粉尘</w:t>
            </w:r>
            <w:r>
              <w:rPr>
                <w:color w:val="auto"/>
                <w:sz w:val="24"/>
              </w:rPr>
              <w:t>有组织排放浓度能达到</w:t>
            </w:r>
            <w:r>
              <w:rPr>
                <w:rFonts w:hint="eastAsia"/>
                <w:color w:val="auto"/>
                <w:sz w:val="24"/>
              </w:rPr>
              <w:t>达</w:t>
            </w:r>
            <w:r>
              <w:rPr>
                <w:color w:val="auto"/>
                <w:sz w:val="24"/>
              </w:rPr>
              <w:t>到《大气污染物排放限值》（DB44/27-2001）中第二时段二级标准的要求</w:t>
            </w:r>
            <w:r>
              <w:rPr>
                <w:rFonts w:hint="eastAsia"/>
                <w:color w:val="auto"/>
                <w:sz w:val="24"/>
              </w:rPr>
              <w:t>，</w:t>
            </w:r>
            <w:r>
              <w:rPr>
                <w:color w:val="auto"/>
                <w:sz w:val="24"/>
              </w:rPr>
              <w:t>厂界无组织排放粉尘达到《水泥工业大气污染物排放标准》（GB4915-2013）中表3无组织排放浓度限值</w:t>
            </w:r>
            <w:r>
              <w:rPr>
                <w:rFonts w:hint="eastAsia"/>
                <w:color w:val="auto"/>
                <w:sz w:val="24"/>
              </w:rPr>
              <w:t>；项目</w:t>
            </w:r>
            <w:r>
              <w:rPr>
                <w:color w:val="auto"/>
                <w:sz w:val="24"/>
              </w:rPr>
              <w:t>备用发电机废</w:t>
            </w:r>
            <w:r>
              <w:rPr>
                <w:rFonts w:hint="eastAsia"/>
                <w:color w:val="auto"/>
                <w:sz w:val="24"/>
              </w:rPr>
              <w:t>气</w:t>
            </w:r>
            <w:r>
              <w:rPr>
                <w:color w:val="auto"/>
                <w:sz w:val="24"/>
              </w:rPr>
              <w:t>经</w:t>
            </w:r>
            <w:r>
              <w:rPr>
                <w:rFonts w:hint="eastAsia"/>
                <w:color w:val="auto"/>
                <w:sz w:val="24"/>
              </w:rPr>
              <w:t>碱喷淋装置处理后高空排放，</w:t>
            </w:r>
            <w:r>
              <w:rPr>
                <w:color w:val="auto"/>
                <w:sz w:val="24"/>
              </w:rPr>
              <w:t>排放浓度达</w:t>
            </w:r>
            <w:r>
              <w:rPr>
                <w:rFonts w:hint="eastAsia"/>
                <w:color w:val="auto"/>
                <w:sz w:val="24"/>
              </w:rPr>
              <w:t>到</w:t>
            </w:r>
            <w:r>
              <w:rPr>
                <w:color w:val="auto"/>
                <w:sz w:val="24"/>
              </w:rPr>
              <w:t>《大气污染物排放限值》（DB44/27-2001）中第二时段二级标准的要求</w:t>
            </w:r>
            <w:r>
              <w:rPr>
                <w:rFonts w:hint="eastAsia"/>
                <w:color w:val="auto"/>
                <w:sz w:val="24"/>
              </w:rPr>
              <w:t>。因此，对周围的环境影响可</w:t>
            </w:r>
            <w:r>
              <w:rPr>
                <w:color w:val="auto"/>
                <w:sz w:val="24"/>
              </w:rPr>
              <w:t>以接受</w:t>
            </w:r>
            <w:r>
              <w:rPr>
                <w:rFonts w:hint="eastAsia"/>
                <w:color w:val="auto"/>
                <w:sz w:val="24"/>
              </w:rPr>
              <w:t>。同时应安排员工做好安全防护，配带好口罩确保劳动安全卫生。</w:t>
            </w:r>
          </w:p>
          <w:p>
            <w:pPr>
              <w:adjustRightInd w:val="0"/>
              <w:snapToGrid w:val="0"/>
              <w:spacing w:line="360" w:lineRule="auto"/>
              <w:ind w:firstLine="431"/>
              <w:rPr>
                <w:b/>
                <w:bCs/>
                <w:color w:val="auto"/>
                <w:sz w:val="24"/>
              </w:rPr>
            </w:pPr>
            <w:r>
              <w:rPr>
                <w:b/>
                <w:bCs/>
                <w:color w:val="auto"/>
                <w:sz w:val="24"/>
              </w:rPr>
              <w:t>2、水环境影响评价结论</w:t>
            </w:r>
          </w:p>
          <w:p>
            <w:pPr>
              <w:snapToGrid w:val="0"/>
              <w:spacing w:line="360" w:lineRule="auto"/>
              <w:ind w:firstLine="480" w:firstLineChars="200"/>
              <w:rPr>
                <w:color w:val="auto"/>
                <w:sz w:val="24"/>
              </w:rPr>
            </w:pPr>
            <w:r>
              <w:rPr>
                <w:color w:val="auto"/>
                <w:sz w:val="24"/>
              </w:rPr>
              <w:t>本项目</w:t>
            </w:r>
            <w:r>
              <w:rPr>
                <w:rFonts w:hint="eastAsia"/>
                <w:color w:val="auto"/>
                <w:sz w:val="24"/>
              </w:rPr>
              <w:t>生活</w:t>
            </w:r>
            <w:r>
              <w:rPr>
                <w:color w:val="auto"/>
                <w:sz w:val="24"/>
              </w:rPr>
              <w:t>污水经</w:t>
            </w:r>
            <w:r>
              <w:rPr>
                <w:rFonts w:hint="eastAsia"/>
                <w:color w:val="auto"/>
                <w:sz w:val="24"/>
              </w:rPr>
              <w:t>地埋式一</w:t>
            </w:r>
            <w:r>
              <w:rPr>
                <w:color w:val="auto"/>
                <w:sz w:val="24"/>
              </w:rPr>
              <w:t>体化</w:t>
            </w:r>
            <w:r>
              <w:rPr>
                <w:rFonts w:hint="eastAsia"/>
                <w:color w:val="auto"/>
                <w:sz w:val="24"/>
              </w:rPr>
              <w:t>污水</w:t>
            </w:r>
            <w:r>
              <w:rPr>
                <w:color w:val="auto"/>
                <w:sz w:val="24"/>
              </w:rPr>
              <w:t>处理设施处理后达</w:t>
            </w:r>
            <w:r>
              <w:rPr>
                <w:color w:val="auto"/>
                <w:spacing w:val="-2"/>
                <w:sz w:val="24"/>
              </w:rPr>
              <w:t>到</w:t>
            </w:r>
            <w:r>
              <w:rPr>
                <w:rFonts w:hint="eastAsia"/>
                <w:color w:val="auto"/>
                <w:sz w:val="24"/>
              </w:rPr>
              <w:t>《城市污水再生利用</w:t>
            </w:r>
            <w:r>
              <w:rPr>
                <w:color w:val="auto"/>
                <w:sz w:val="24"/>
              </w:rPr>
              <w:t> </w:t>
            </w:r>
            <w:r>
              <w:rPr>
                <w:rFonts w:hint="eastAsia"/>
                <w:color w:val="auto"/>
                <w:sz w:val="24"/>
              </w:rPr>
              <w:t>城市杂用水水质》（</w:t>
            </w:r>
            <w:r>
              <w:rPr>
                <w:color w:val="auto"/>
                <w:sz w:val="24"/>
              </w:rPr>
              <w:t>GB/T18920-2002</w:t>
            </w:r>
            <w:r>
              <w:rPr>
                <w:rFonts w:hint="eastAsia"/>
                <w:color w:val="auto"/>
                <w:sz w:val="24"/>
              </w:rPr>
              <w:t>）中绿化用水标准要求后回用于厂区绿化灌溉，</w:t>
            </w:r>
            <w:r>
              <w:rPr>
                <w:color w:val="auto"/>
                <w:sz w:val="24"/>
              </w:rPr>
              <w:t>不外排。</w:t>
            </w:r>
          </w:p>
          <w:p>
            <w:pPr>
              <w:snapToGrid w:val="0"/>
              <w:spacing w:line="360" w:lineRule="auto"/>
              <w:ind w:firstLine="480" w:firstLineChars="200"/>
              <w:rPr>
                <w:bCs/>
                <w:color w:val="auto"/>
                <w:sz w:val="24"/>
              </w:rPr>
            </w:pPr>
            <w:r>
              <w:rPr>
                <w:bCs/>
                <w:color w:val="auto"/>
                <w:sz w:val="24"/>
              </w:rPr>
              <w:t>项目产生的冲洗废水经</w:t>
            </w:r>
            <w:r>
              <w:rPr>
                <w:rFonts w:hint="eastAsia"/>
                <w:bCs/>
                <w:color w:val="auto"/>
                <w:sz w:val="24"/>
              </w:rPr>
              <w:t>四</w:t>
            </w:r>
            <w:r>
              <w:rPr>
                <w:bCs/>
                <w:color w:val="auto"/>
                <w:sz w:val="24"/>
              </w:rPr>
              <w:t>级</w:t>
            </w:r>
            <w:r>
              <w:rPr>
                <w:rFonts w:hint="eastAsia"/>
                <w:bCs/>
                <w:color w:val="auto"/>
                <w:sz w:val="24"/>
              </w:rPr>
              <w:t>沉淀</w:t>
            </w:r>
            <w:r>
              <w:rPr>
                <w:bCs/>
                <w:color w:val="auto"/>
                <w:sz w:val="24"/>
              </w:rPr>
              <w:t>处理系统处理后回用于生产工序，不外排，不会对环境造成影响。</w:t>
            </w:r>
          </w:p>
          <w:p>
            <w:pPr>
              <w:snapToGrid w:val="0"/>
              <w:spacing w:line="360" w:lineRule="auto"/>
              <w:ind w:firstLine="480" w:firstLineChars="200"/>
              <w:rPr>
                <w:color w:val="auto"/>
                <w:sz w:val="24"/>
              </w:rPr>
            </w:pPr>
            <w:r>
              <w:rPr>
                <w:color w:val="auto"/>
                <w:sz w:val="24"/>
              </w:rPr>
              <w:t>综上所述，项目产生的废水经上述处理措施处理后，对周围</w:t>
            </w:r>
            <w:r>
              <w:rPr>
                <w:rFonts w:hint="eastAsia"/>
                <w:color w:val="auto"/>
                <w:sz w:val="24"/>
              </w:rPr>
              <w:t>的</w:t>
            </w:r>
            <w:r>
              <w:rPr>
                <w:color w:val="auto"/>
                <w:sz w:val="24"/>
              </w:rPr>
              <w:t>水环境影响</w:t>
            </w:r>
            <w:r>
              <w:rPr>
                <w:rFonts w:hint="eastAsia"/>
                <w:color w:val="auto"/>
                <w:sz w:val="24"/>
              </w:rPr>
              <w:t>可以</w:t>
            </w:r>
            <w:r>
              <w:rPr>
                <w:color w:val="auto"/>
                <w:sz w:val="24"/>
              </w:rPr>
              <w:t>接</w:t>
            </w:r>
            <w:r>
              <w:rPr>
                <w:rFonts w:hint="eastAsia"/>
                <w:color w:val="auto"/>
                <w:sz w:val="24"/>
              </w:rPr>
              <w:t>受</w:t>
            </w:r>
            <w:r>
              <w:rPr>
                <w:color w:val="auto"/>
                <w:sz w:val="24"/>
              </w:rPr>
              <w:t>。</w:t>
            </w:r>
          </w:p>
          <w:p>
            <w:pPr>
              <w:adjustRightInd w:val="0"/>
              <w:snapToGrid w:val="0"/>
              <w:spacing w:line="360" w:lineRule="auto"/>
              <w:ind w:firstLine="431"/>
              <w:rPr>
                <w:b/>
                <w:bCs/>
                <w:color w:val="auto"/>
                <w:sz w:val="24"/>
              </w:rPr>
            </w:pPr>
            <w:r>
              <w:rPr>
                <w:b/>
                <w:color w:val="auto"/>
                <w:sz w:val="24"/>
              </w:rPr>
              <w:t>3、</w:t>
            </w:r>
            <w:r>
              <w:rPr>
                <w:b/>
                <w:bCs/>
                <w:color w:val="auto"/>
                <w:sz w:val="24"/>
              </w:rPr>
              <w:t>声环境影响评价结论</w:t>
            </w:r>
          </w:p>
          <w:p>
            <w:pPr>
              <w:adjustRightInd w:val="0"/>
              <w:snapToGrid w:val="0"/>
              <w:spacing w:line="360" w:lineRule="auto"/>
              <w:ind w:firstLine="480" w:firstLineChars="200"/>
              <w:rPr>
                <w:bCs/>
                <w:color w:val="auto"/>
                <w:sz w:val="24"/>
              </w:rPr>
            </w:pPr>
            <w:r>
              <w:rPr>
                <w:color w:val="auto"/>
                <w:sz w:val="24"/>
              </w:rPr>
              <w:t>通过选用低噪声设备，高噪声设备采取减震、隔声、密闭等措施，并在厂界边界设置有砖砌实体围墙、种植树木、设置绿化带等措施。使得项目厂界</w:t>
            </w:r>
            <w:r>
              <w:rPr>
                <w:rFonts w:hint="eastAsia"/>
                <w:color w:val="auto"/>
                <w:sz w:val="24"/>
              </w:rPr>
              <w:t>各侧</w:t>
            </w:r>
            <w:r>
              <w:rPr>
                <w:color w:val="auto"/>
                <w:sz w:val="24"/>
              </w:rPr>
              <w:t>噪声</w:t>
            </w:r>
            <w:r>
              <w:rPr>
                <w:rFonts w:hint="eastAsia"/>
                <w:color w:val="auto"/>
                <w:sz w:val="24"/>
              </w:rPr>
              <w:t>均</w:t>
            </w:r>
            <w:r>
              <w:rPr>
                <w:color w:val="auto"/>
                <w:sz w:val="24"/>
              </w:rPr>
              <w:t>达到《工业企业厂界环境噪声排放标准》（GB12348-2008）中的2类标准，对周围</w:t>
            </w:r>
            <w:r>
              <w:rPr>
                <w:rFonts w:hint="eastAsia"/>
                <w:color w:val="auto"/>
                <w:sz w:val="24"/>
              </w:rPr>
              <w:t>声</w:t>
            </w:r>
            <w:r>
              <w:rPr>
                <w:color w:val="auto"/>
                <w:sz w:val="24"/>
              </w:rPr>
              <w:t>环境影响</w:t>
            </w:r>
            <w:r>
              <w:rPr>
                <w:rFonts w:hint="eastAsia"/>
                <w:color w:val="auto"/>
                <w:sz w:val="24"/>
              </w:rPr>
              <w:t>可</w:t>
            </w:r>
            <w:r>
              <w:rPr>
                <w:color w:val="auto"/>
                <w:sz w:val="24"/>
              </w:rPr>
              <w:t>以接受。</w:t>
            </w:r>
          </w:p>
          <w:p>
            <w:pPr>
              <w:adjustRightInd w:val="0"/>
              <w:snapToGrid w:val="0"/>
              <w:spacing w:line="360" w:lineRule="auto"/>
              <w:ind w:firstLine="472" w:firstLineChars="196"/>
              <w:rPr>
                <w:b/>
                <w:color w:val="auto"/>
                <w:sz w:val="24"/>
              </w:rPr>
            </w:pPr>
            <w:r>
              <w:rPr>
                <w:b/>
                <w:bCs/>
                <w:color w:val="auto"/>
                <w:sz w:val="24"/>
              </w:rPr>
              <w:t>4、</w:t>
            </w:r>
            <w:r>
              <w:rPr>
                <w:b/>
                <w:color w:val="auto"/>
                <w:sz w:val="24"/>
              </w:rPr>
              <w:t>固体废弃物影响评价结论</w:t>
            </w:r>
          </w:p>
          <w:p>
            <w:pPr>
              <w:snapToGrid w:val="0"/>
              <w:spacing w:line="360" w:lineRule="auto"/>
              <w:ind w:firstLine="480"/>
              <w:rPr>
                <w:color w:val="auto"/>
                <w:sz w:val="24"/>
              </w:rPr>
            </w:pPr>
            <w:r>
              <w:rPr>
                <w:color w:val="auto"/>
                <w:sz w:val="24"/>
              </w:rPr>
              <w:t>项目生产过程中</w:t>
            </w:r>
            <w:r>
              <w:rPr>
                <w:rFonts w:hint="eastAsia"/>
                <w:color w:val="auto"/>
                <w:sz w:val="24"/>
              </w:rPr>
              <w:t>混</w:t>
            </w:r>
            <w:r>
              <w:rPr>
                <w:color w:val="auto"/>
                <w:sz w:val="24"/>
              </w:rPr>
              <w:t>凝土搅拌生产线配套的袋式除尘器收集后的粉尘，收集后作为原料再利用</w:t>
            </w:r>
            <w:r>
              <w:rPr>
                <w:rFonts w:hint="eastAsia"/>
                <w:color w:val="auto"/>
                <w:sz w:val="24"/>
              </w:rPr>
              <w:t>，</w:t>
            </w:r>
            <w:r>
              <w:rPr>
                <w:color w:val="auto"/>
                <w:sz w:val="24"/>
              </w:rPr>
              <w:t>制砂生产线</w:t>
            </w:r>
            <w:r>
              <w:rPr>
                <w:rFonts w:hint="eastAsia"/>
                <w:color w:val="auto"/>
                <w:sz w:val="24"/>
              </w:rPr>
              <w:t>产生</w:t>
            </w:r>
            <w:r>
              <w:rPr>
                <w:color w:val="auto"/>
                <w:sz w:val="24"/>
              </w:rPr>
              <w:t>的石粉及袋式除尘器收集后的粉尘</w:t>
            </w:r>
            <w:r>
              <w:rPr>
                <w:rFonts w:hint="eastAsia"/>
                <w:color w:val="auto"/>
                <w:sz w:val="24"/>
              </w:rPr>
              <w:t>外</w:t>
            </w:r>
            <w:r>
              <w:rPr>
                <w:color w:val="auto"/>
                <w:sz w:val="24"/>
              </w:rPr>
              <w:t>售给砖厂；试验混凝土废料、砂石分离机分离出的砂、石等回收利用</w:t>
            </w:r>
            <w:r>
              <w:rPr>
                <w:rFonts w:hint="eastAsia"/>
                <w:color w:val="auto"/>
                <w:sz w:val="24"/>
              </w:rPr>
              <w:t>，生产废水沉淀产生的沉渣</w:t>
            </w:r>
            <w:r>
              <w:rPr>
                <w:color w:val="auto"/>
                <w:sz w:val="24"/>
              </w:rPr>
              <w:t>脱水后</w:t>
            </w:r>
            <w:r>
              <w:rPr>
                <w:rFonts w:hint="eastAsia"/>
                <w:color w:val="auto"/>
                <w:sz w:val="24"/>
              </w:rPr>
              <w:t>回用</w:t>
            </w:r>
            <w:r>
              <w:rPr>
                <w:color w:val="auto"/>
                <w:sz w:val="24"/>
              </w:rPr>
              <w:t>于生产；项目员工生活垃圾须集中堆放，统一由环卫部门运往垃圾处理场作无害化处理，日产日清，并要选择好垃圾临时存放地的位置，尽量避免垃圾散发的臭味逸散。</w:t>
            </w:r>
          </w:p>
          <w:p>
            <w:pPr>
              <w:tabs>
                <w:tab w:val="left" w:pos="6885"/>
              </w:tabs>
              <w:snapToGrid w:val="0"/>
              <w:spacing w:line="360" w:lineRule="auto"/>
              <w:ind w:firstLine="480" w:firstLineChars="200"/>
              <w:rPr>
                <w:color w:val="auto"/>
                <w:sz w:val="24"/>
              </w:rPr>
            </w:pPr>
            <w:r>
              <w:rPr>
                <w:color w:val="auto"/>
                <w:sz w:val="24"/>
              </w:rPr>
              <w:t>综上所述，项目产生的固体废物经上述处理措施处理后，对周围环境影响</w:t>
            </w:r>
            <w:r>
              <w:rPr>
                <w:rFonts w:hint="eastAsia"/>
                <w:color w:val="auto"/>
                <w:sz w:val="24"/>
              </w:rPr>
              <w:t>可以</w:t>
            </w:r>
            <w:r>
              <w:rPr>
                <w:color w:val="auto"/>
                <w:sz w:val="24"/>
              </w:rPr>
              <w:t>接受。</w:t>
            </w:r>
          </w:p>
          <w:p>
            <w:pPr>
              <w:pStyle w:val="23"/>
              <w:snapToGrid w:val="0"/>
              <w:spacing w:line="360" w:lineRule="auto"/>
              <w:ind w:firstLine="482"/>
              <w:rPr>
                <w:rFonts w:ascii="Times New Roman"/>
                <w:b/>
                <w:bCs/>
                <w:color w:val="auto"/>
              </w:rPr>
            </w:pPr>
            <w:r>
              <w:rPr>
                <w:rFonts w:hint="eastAsia" w:ascii="Times New Roman"/>
                <w:b/>
                <w:bCs/>
                <w:color w:val="auto"/>
              </w:rPr>
              <w:t>5、地下水环境影响分析</w:t>
            </w:r>
          </w:p>
          <w:p>
            <w:pPr>
              <w:pStyle w:val="23"/>
              <w:snapToGrid w:val="0"/>
              <w:spacing w:line="360" w:lineRule="auto"/>
              <w:rPr>
                <w:rFonts w:ascii="Times New Roman"/>
                <w:color w:val="auto"/>
              </w:rPr>
            </w:pPr>
            <w:r>
              <w:rPr>
                <w:rFonts w:hint="eastAsia" w:ascii="Times New Roman"/>
                <w:color w:val="auto"/>
              </w:rPr>
              <w:t>根据《环境影响评价技术导则地下水环境》（HJ610-2016），对照附录A“地下水环境影响评价行业分类表”，本项目属IV类项目，可不开展地下水环境影响评价工作。</w:t>
            </w:r>
          </w:p>
          <w:p>
            <w:pPr>
              <w:pStyle w:val="23"/>
              <w:snapToGrid w:val="0"/>
              <w:spacing w:line="360" w:lineRule="auto"/>
              <w:ind w:firstLine="482"/>
              <w:rPr>
                <w:rFonts w:ascii="Times New Roman"/>
                <w:b/>
                <w:color w:val="auto"/>
              </w:rPr>
            </w:pPr>
            <w:r>
              <w:rPr>
                <w:rFonts w:hint="eastAsia" w:ascii="Times New Roman"/>
                <w:b/>
                <w:color w:val="auto"/>
              </w:rPr>
              <w:t>6、土壤环境影响分析</w:t>
            </w:r>
          </w:p>
          <w:p>
            <w:pPr>
              <w:pStyle w:val="2"/>
              <w:snapToGrid w:val="0"/>
              <w:spacing w:line="360" w:lineRule="auto"/>
              <w:ind w:firstLine="480"/>
              <w:rPr>
                <w:color w:val="auto"/>
                <w:sz w:val="24"/>
                <w:szCs w:val="24"/>
              </w:rPr>
            </w:pPr>
            <w:r>
              <w:rPr>
                <w:rFonts w:hint="eastAsia"/>
                <w:color w:val="auto"/>
                <w:sz w:val="24"/>
                <w:szCs w:val="24"/>
              </w:rPr>
              <w:t>根据《环境影响评价技术导则土壤环境（试行）》（HJ964-2018），本项目</w:t>
            </w:r>
            <w:r>
              <w:rPr>
                <w:color w:val="auto"/>
                <w:sz w:val="24"/>
                <w:szCs w:val="24"/>
              </w:rPr>
              <w:t>不属于</w:t>
            </w:r>
            <w:r>
              <w:rPr>
                <w:rFonts w:hint="eastAsia"/>
                <w:color w:val="auto"/>
                <w:sz w:val="24"/>
                <w:szCs w:val="24"/>
              </w:rPr>
              <w:t>化工</w:t>
            </w:r>
            <w:r>
              <w:rPr>
                <w:color w:val="auto"/>
                <w:sz w:val="24"/>
                <w:szCs w:val="24"/>
              </w:rPr>
              <w:t>、冶金</w:t>
            </w:r>
            <w:r>
              <w:rPr>
                <w:rFonts w:hint="eastAsia"/>
                <w:color w:val="auto"/>
                <w:sz w:val="24"/>
                <w:szCs w:val="24"/>
              </w:rPr>
              <w:t>、</w:t>
            </w:r>
            <w:r>
              <w:rPr>
                <w:color w:val="auto"/>
                <w:sz w:val="24"/>
                <w:szCs w:val="24"/>
              </w:rPr>
              <w:t>矿山挖掘、</w:t>
            </w:r>
            <w:r>
              <w:rPr>
                <w:rFonts w:hint="eastAsia"/>
                <w:color w:val="auto"/>
                <w:sz w:val="24"/>
                <w:szCs w:val="24"/>
              </w:rPr>
              <w:t>农林</w:t>
            </w:r>
            <w:r>
              <w:rPr>
                <w:color w:val="auto"/>
                <w:sz w:val="24"/>
                <w:szCs w:val="24"/>
              </w:rPr>
              <w:t>、水利等</w:t>
            </w:r>
            <w:r>
              <w:rPr>
                <w:rFonts w:hint="eastAsia"/>
                <w:color w:val="auto"/>
                <w:sz w:val="24"/>
                <w:szCs w:val="24"/>
              </w:rPr>
              <w:t>对</w:t>
            </w:r>
            <w:r>
              <w:rPr>
                <w:color w:val="auto"/>
                <w:sz w:val="24"/>
                <w:szCs w:val="24"/>
              </w:rPr>
              <w:t>土壤环境产生</w:t>
            </w:r>
            <w:r>
              <w:rPr>
                <w:rFonts w:hint="eastAsia"/>
                <w:color w:val="auto"/>
                <w:sz w:val="24"/>
                <w:szCs w:val="24"/>
              </w:rPr>
              <w:t>影响</w:t>
            </w:r>
            <w:r>
              <w:rPr>
                <w:color w:val="auto"/>
                <w:sz w:val="24"/>
                <w:szCs w:val="24"/>
              </w:rPr>
              <w:t>的建设项目</w:t>
            </w:r>
            <w:r>
              <w:rPr>
                <w:rFonts w:hint="eastAsia"/>
                <w:color w:val="auto"/>
                <w:sz w:val="24"/>
                <w:szCs w:val="24"/>
              </w:rPr>
              <w:t>，对照附录A“土壤环境影响评价项目类别”，本项目属于IV类项目，可不开展土壤环境影响评价工作。项目</w:t>
            </w:r>
            <w:r>
              <w:rPr>
                <w:color w:val="auto"/>
                <w:sz w:val="24"/>
                <w:szCs w:val="24"/>
              </w:rPr>
              <w:t>只要严格管理好其他各项环保措施正常运行，</w:t>
            </w:r>
            <w:r>
              <w:rPr>
                <w:rFonts w:hint="eastAsia"/>
                <w:color w:val="auto"/>
                <w:sz w:val="24"/>
                <w:szCs w:val="24"/>
              </w:rPr>
              <w:t>不会对</w:t>
            </w:r>
            <w:r>
              <w:rPr>
                <w:color w:val="auto"/>
                <w:sz w:val="24"/>
                <w:szCs w:val="24"/>
              </w:rPr>
              <w:t>周边土壤环境造成</w:t>
            </w:r>
            <w:r>
              <w:rPr>
                <w:rFonts w:hint="eastAsia"/>
                <w:color w:val="auto"/>
                <w:sz w:val="24"/>
                <w:szCs w:val="24"/>
              </w:rPr>
              <w:t>影响。</w:t>
            </w:r>
          </w:p>
          <w:p>
            <w:pPr>
              <w:adjustRightInd w:val="0"/>
              <w:snapToGrid w:val="0"/>
              <w:spacing w:line="360" w:lineRule="auto"/>
              <w:ind w:firstLine="482" w:firstLineChars="200"/>
              <w:rPr>
                <w:b/>
                <w:bCs/>
                <w:color w:val="auto"/>
                <w:sz w:val="24"/>
              </w:rPr>
            </w:pPr>
            <w:r>
              <w:rPr>
                <w:b/>
                <w:bCs/>
                <w:color w:val="auto"/>
                <w:sz w:val="24"/>
              </w:rPr>
              <w:t>四、项目产业政策与规划的符合性</w:t>
            </w:r>
          </w:p>
          <w:p>
            <w:pPr>
              <w:widowControl/>
              <w:snapToGrid w:val="0"/>
              <w:spacing w:line="360" w:lineRule="auto"/>
              <w:ind w:firstLine="480" w:firstLineChars="200"/>
              <w:rPr>
                <w:color w:val="auto"/>
              </w:rPr>
            </w:pPr>
            <w:r>
              <w:rPr>
                <w:rFonts w:hint="eastAsia"/>
                <w:color w:val="auto"/>
                <w:sz w:val="24"/>
              </w:rPr>
              <w:t>对照国家发展和改革委员会发布的《市场准入负面清单（201</w:t>
            </w:r>
            <w:r>
              <w:rPr>
                <w:color w:val="auto"/>
                <w:sz w:val="24"/>
              </w:rPr>
              <w:t>9</w:t>
            </w:r>
            <w:r>
              <w:rPr>
                <w:rFonts w:hint="eastAsia"/>
                <w:color w:val="auto"/>
                <w:sz w:val="24"/>
              </w:rPr>
              <w:t>版）》，本项目为商品混</w:t>
            </w:r>
            <w:r>
              <w:rPr>
                <w:color w:val="auto"/>
                <w:sz w:val="24"/>
              </w:rPr>
              <w:t>凝土及机制砂</w:t>
            </w:r>
            <w:r>
              <w:rPr>
                <w:rFonts w:hint="eastAsia"/>
                <w:color w:val="auto"/>
                <w:sz w:val="24"/>
              </w:rPr>
              <w:t>生产，不在所列的负面清单中，因此项目建设符合国家产业政策</w:t>
            </w:r>
            <w:r>
              <w:rPr>
                <w:color w:val="auto"/>
                <w:sz w:val="24"/>
              </w:rPr>
              <w:t>。经查阅，该建设项目不属于《产业结构调整指导目录（2019年本）》中的鼓励类、限制类或淘汰类项目，属于允许类，符合国家和地方相关产业政策。</w:t>
            </w:r>
          </w:p>
          <w:p>
            <w:pPr>
              <w:widowControl/>
              <w:snapToGrid w:val="0"/>
              <w:spacing w:line="360" w:lineRule="auto"/>
              <w:ind w:firstLine="482" w:firstLineChars="200"/>
              <w:rPr>
                <w:b/>
                <w:color w:val="auto"/>
                <w:sz w:val="24"/>
              </w:rPr>
            </w:pPr>
            <w:r>
              <w:rPr>
                <w:b/>
                <w:bCs/>
                <w:color w:val="auto"/>
                <w:sz w:val="24"/>
              </w:rPr>
              <w:t>五</w:t>
            </w:r>
            <w:r>
              <w:rPr>
                <w:b/>
                <w:color w:val="auto"/>
                <w:sz w:val="24"/>
              </w:rPr>
              <w:t>、环境风险</w:t>
            </w:r>
            <w:r>
              <w:rPr>
                <w:rFonts w:hint="eastAsia"/>
                <w:b/>
                <w:color w:val="auto"/>
                <w:sz w:val="24"/>
              </w:rPr>
              <w:t>评价结论</w:t>
            </w:r>
          </w:p>
          <w:p>
            <w:pPr>
              <w:snapToGrid w:val="0"/>
              <w:spacing w:line="360" w:lineRule="auto"/>
              <w:ind w:firstLine="480" w:firstLineChars="200"/>
              <w:rPr>
                <w:color w:val="auto"/>
                <w:sz w:val="24"/>
              </w:rPr>
            </w:pPr>
            <w:r>
              <w:rPr>
                <w:color w:val="auto"/>
                <w:sz w:val="24"/>
              </w:rPr>
              <w:t>本项目生产过程中使用的原材料均不属于易燃易爆的危险化学品，根据《建设项目环境风险评价技术导则》（HJ/T169-2018），本项目没有重大环境风险源</w:t>
            </w:r>
            <w:r>
              <w:rPr>
                <w:rFonts w:hint="eastAsia"/>
                <w:color w:val="auto"/>
                <w:sz w:val="24"/>
              </w:rPr>
              <w:t>，生产过程中严格按照风险防范措施处理情况下，环境风险水平可以接受</w:t>
            </w:r>
            <w:r>
              <w:rPr>
                <w:color w:val="auto"/>
                <w:sz w:val="24"/>
              </w:rPr>
              <w:t>。</w:t>
            </w:r>
          </w:p>
          <w:p>
            <w:pPr>
              <w:adjustRightInd w:val="0"/>
              <w:snapToGrid w:val="0"/>
              <w:spacing w:line="360" w:lineRule="auto"/>
              <w:ind w:firstLine="482"/>
              <w:rPr>
                <w:b/>
                <w:bCs/>
                <w:color w:val="auto"/>
                <w:sz w:val="24"/>
              </w:rPr>
            </w:pPr>
            <w:r>
              <w:rPr>
                <w:b/>
                <w:bCs/>
                <w:color w:val="auto"/>
                <w:sz w:val="24"/>
              </w:rPr>
              <w:t>六、综合结论</w:t>
            </w:r>
          </w:p>
          <w:p>
            <w:pPr>
              <w:autoSpaceDE w:val="0"/>
              <w:autoSpaceDN w:val="0"/>
              <w:adjustRightInd w:val="0"/>
              <w:snapToGrid w:val="0"/>
              <w:spacing w:line="360" w:lineRule="auto"/>
              <w:ind w:firstLine="480" w:firstLineChars="200"/>
              <w:jc w:val="left"/>
              <w:rPr>
                <w:b/>
                <w:bCs/>
                <w:color w:val="auto"/>
                <w:sz w:val="24"/>
              </w:rPr>
            </w:pPr>
            <w:r>
              <w:rPr>
                <w:color w:val="auto"/>
                <w:sz w:val="24"/>
              </w:rPr>
              <w:t>项目建设符合广东省和国家的相关产业政策。通过工程分析和环境影响分析，该项目产生的污染物（源），可以通过污染防治措施进行削减，达到排放标准的要求，对环境可能产生不良的影响较小。只要加强环境管理，落实好相关的环境保护和治理措施，确保污染物达标排放，且污染物排放总量控制在允许排放总量范围内，则项目在正常运营状况下不会对周边环境产生大的污染影响。</w:t>
            </w:r>
            <w:r>
              <w:rPr>
                <w:b/>
                <w:bCs/>
                <w:color w:val="auto"/>
                <w:sz w:val="24"/>
              </w:rPr>
              <w:t>从环保角度分析，项目的建设及运营是合理可行的。</w:t>
            </w:r>
          </w:p>
          <w:p>
            <w:pPr>
              <w:autoSpaceDE w:val="0"/>
              <w:autoSpaceDN w:val="0"/>
              <w:adjustRightInd w:val="0"/>
              <w:snapToGrid w:val="0"/>
              <w:spacing w:line="360" w:lineRule="auto"/>
              <w:ind w:firstLine="482" w:firstLineChars="200"/>
              <w:jc w:val="left"/>
              <w:rPr>
                <w:b/>
                <w:color w:val="auto"/>
                <w:kern w:val="0"/>
                <w:sz w:val="24"/>
                <w:lang w:val="zh-CN"/>
              </w:rPr>
            </w:pPr>
            <w:r>
              <w:rPr>
                <w:b/>
                <w:color w:val="auto"/>
                <w:kern w:val="0"/>
                <w:sz w:val="24"/>
              </w:rPr>
              <w:t>七</w:t>
            </w:r>
            <w:r>
              <w:rPr>
                <w:b/>
                <w:color w:val="auto"/>
                <w:kern w:val="0"/>
                <w:sz w:val="24"/>
                <w:lang w:val="zh-CN"/>
              </w:rPr>
              <w:t>、全本公示与公众参与结论</w:t>
            </w:r>
          </w:p>
          <w:p>
            <w:pPr>
              <w:adjustRightInd w:val="0"/>
              <w:snapToGrid w:val="0"/>
              <w:spacing w:line="360" w:lineRule="auto"/>
              <w:ind w:firstLine="480" w:firstLineChars="200"/>
              <w:rPr>
                <w:b/>
                <w:bCs/>
                <w:color w:val="auto"/>
                <w:sz w:val="24"/>
              </w:rPr>
            </w:pPr>
            <w:r>
              <w:rPr>
                <w:color w:val="auto"/>
                <w:kern w:val="0"/>
                <w:sz w:val="24"/>
              </w:rPr>
              <w:t>本项目按照《环境影响评价公众参与</w:t>
            </w:r>
            <w:r>
              <w:rPr>
                <w:bCs/>
                <w:color w:val="auto"/>
                <w:sz w:val="24"/>
              </w:rPr>
              <w:t>办法》（生态环境部令</w:t>
            </w:r>
            <w:r>
              <w:rPr>
                <w:rFonts w:hint="eastAsia"/>
                <w:bCs/>
                <w:color w:val="auto"/>
                <w:sz w:val="24"/>
              </w:rPr>
              <w:t>第4号</w:t>
            </w:r>
            <w:r>
              <w:rPr>
                <w:bCs/>
                <w:color w:val="auto"/>
                <w:sz w:val="24"/>
              </w:rPr>
              <w:t>）等相</w:t>
            </w:r>
            <w:r>
              <w:rPr>
                <w:color w:val="auto"/>
                <w:kern w:val="0"/>
                <w:sz w:val="24"/>
              </w:rPr>
              <w:t>关文件开展了相关的信息公开及公众参与调查工作，</w:t>
            </w:r>
            <w:r>
              <w:rPr>
                <w:bCs/>
                <w:color w:val="auto"/>
                <w:sz w:val="24"/>
              </w:rPr>
              <w:t>本项目</w:t>
            </w:r>
            <w:r>
              <w:rPr>
                <w:color w:val="auto"/>
                <w:kern w:val="0"/>
                <w:sz w:val="24"/>
              </w:rPr>
              <w:t>于2020年5月13</w:t>
            </w:r>
            <w:r>
              <w:rPr>
                <w:rFonts w:hint="eastAsia"/>
                <w:color w:val="auto"/>
                <w:kern w:val="0"/>
                <w:sz w:val="24"/>
              </w:rPr>
              <w:t>日</w:t>
            </w:r>
            <w:r>
              <w:rPr>
                <w:bCs/>
                <w:color w:val="auto"/>
                <w:sz w:val="24"/>
              </w:rPr>
              <w:t>在普宁论坛进行公示。本项目在公示期间没有收到任何反对意见，周边群众和单位对本项目的建设是支持的。</w:t>
            </w:r>
            <w:r>
              <w:rPr>
                <w:color w:val="auto"/>
                <w:sz w:val="24"/>
              </w:rPr>
              <w:t>公示网址</w:t>
            </w:r>
            <w:r>
              <w:rPr>
                <w:bCs/>
                <w:color w:val="auto"/>
                <w:sz w:val="24"/>
              </w:rPr>
              <w:t>为：https://www.pnwww.com/thread-1097732-1-1</w:t>
            </w:r>
            <w:r>
              <w:rPr>
                <w:rFonts w:hint="eastAsia"/>
                <w:bCs/>
                <w:color w:val="auto"/>
                <w:sz w:val="24"/>
              </w:rPr>
              <w:t>，</w:t>
            </w:r>
            <w:r>
              <w:rPr>
                <w:color w:val="auto"/>
                <w:kern w:val="0"/>
                <w:sz w:val="24"/>
              </w:rPr>
              <w:t>建设方按要求实行各方面环保措施，切实执行本报告中所提出的各项环保治理措施，减少项目在建设及营运期间对居民生活及环境的影响，公众是支持该项目的建设的。建设单位作出承诺：严格落实本报告提出的各项环境保护措施及环境风险防范</w:t>
            </w:r>
            <w:r>
              <w:rPr>
                <w:rFonts w:hint="eastAsia"/>
                <w:color w:val="auto"/>
                <w:kern w:val="0"/>
                <w:sz w:val="24"/>
              </w:rPr>
              <w:t>措施</w:t>
            </w:r>
            <w:r>
              <w:rPr>
                <w:color w:val="auto"/>
                <w:kern w:val="0"/>
                <w:sz w:val="24"/>
              </w:rPr>
              <w:t>，加强营运期污染治理措施的运行管理与日常维护，确保环保设备的正常运行，以保证污染物的达标排放；积极配合环保部门监督检查。</w:t>
            </w:r>
          </w:p>
          <w:p>
            <w:pPr>
              <w:adjustRightInd w:val="0"/>
              <w:snapToGrid w:val="0"/>
              <w:spacing w:line="360" w:lineRule="auto"/>
              <w:ind w:firstLine="482"/>
              <w:rPr>
                <w:b/>
                <w:bCs/>
                <w:color w:val="auto"/>
                <w:sz w:val="24"/>
              </w:rPr>
            </w:pPr>
            <w:r>
              <w:rPr>
                <w:b/>
                <w:bCs/>
                <w:color w:val="auto"/>
                <w:sz w:val="24"/>
              </w:rPr>
              <w:t>八、建议</w:t>
            </w:r>
          </w:p>
          <w:p>
            <w:pPr>
              <w:widowControl/>
              <w:adjustRightInd w:val="0"/>
              <w:snapToGrid w:val="0"/>
              <w:spacing w:line="360" w:lineRule="auto"/>
              <w:ind w:firstLine="480" w:firstLineChars="200"/>
              <w:jc w:val="left"/>
              <w:rPr>
                <w:b/>
                <w:color w:val="auto"/>
                <w:sz w:val="24"/>
              </w:rPr>
            </w:pPr>
            <w:r>
              <w:rPr>
                <w:color w:val="auto"/>
                <w:sz w:val="24"/>
              </w:rPr>
              <w:t>建设单位应认真落实上述各项环境保护措施，加强环境管理工作，做到“三同时”，并提出以下建议：</w:t>
            </w:r>
          </w:p>
          <w:p>
            <w:pPr>
              <w:widowControl/>
              <w:adjustRightInd w:val="0"/>
              <w:snapToGrid w:val="0"/>
              <w:spacing w:line="360" w:lineRule="auto"/>
              <w:ind w:firstLine="480" w:firstLineChars="200"/>
              <w:jc w:val="left"/>
              <w:rPr>
                <w:color w:val="auto"/>
                <w:sz w:val="24"/>
              </w:rPr>
            </w:pPr>
            <w:r>
              <w:rPr>
                <w:color w:val="auto"/>
                <w:sz w:val="24"/>
              </w:rPr>
              <w:t>（1）企业遵循“节能降耗”原则，推行清洁生产，加强环境宣传教育，节约用水，以减少废水及污染物的排放量。</w:t>
            </w:r>
          </w:p>
          <w:p>
            <w:pPr>
              <w:widowControl/>
              <w:adjustRightInd w:val="0"/>
              <w:snapToGrid w:val="0"/>
              <w:spacing w:line="360" w:lineRule="auto"/>
              <w:ind w:firstLine="480" w:firstLineChars="200"/>
              <w:jc w:val="left"/>
              <w:rPr>
                <w:color w:val="auto"/>
                <w:sz w:val="24"/>
              </w:rPr>
            </w:pPr>
            <w:r>
              <w:rPr>
                <w:color w:val="auto"/>
                <w:sz w:val="24"/>
              </w:rPr>
              <w:t>（2）对高噪声设备采取控制措施的同时，要加强对员工的劳动保护，采取必要的职业健康安全防护措施，保障员工的身心健康。</w:t>
            </w:r>
          </w:p>
          <w:p>
            <w:pPr>
              <w:widowControl/>
              <w:adjustRightInd w:val="0"/>
              <w:snapToGrid w:val="0"/>
              <w:spacing w:line="360" w:lineRule="auto"/>
              <w:ind w:firstLine="480" w:firstLineChars="200"/>
              <w:jc w:val="left"/>
              <w:rPr>
                <w:color w:val="auto"/>
                <w:sz w:val="24"/>
              </w:rPr>
            </w:pPr>
            <w:r>
              <w:rPr>
                <w:color w:val="auto"/>
                <w:sz w:val="24"/>
              </w:rPr>
              <w:t>（3）对除尘器、废水处理设施应进行定期保修，杜绝粉尘、废水等事故性排放。</w:t>
            </w:r>
          </w:p>
          <w:p>
            <w:pPr>
              <w:widowControl/>
              <w:adjustRightInd w:val="0"/>
              <w:snapToGrid w:val="0"/>
              <w:spacing w:line="360" w:lineRule="auto"/>
              <w:ind w:firstLine="480" w:firstLineChars="200"/>
              <w:jc w:val="left"/>
              <w:rPr>
                <w:color w:val="auto"/>
                <w:sz w:val="24"/>
              </w:rPr>
            </w:pPr>
            <w:r>
              <w:rPr>
                <w:color w:val="auto"/>
                <w:sz w:val="24"/>
              </w:rPr>
              <w:t>（4）制定严格的规章制度，环境保护设施应设专人负责，厂区内从事环境保护工作的员工应经过专业培训，厂长为环境保护第一责任人，确保该厂环境保护设施正常运行和达标排放。</w:t>
            </w:r>
          </w:p>
          <w:p>
            <w:pPr>
              <w:widowControl/>
              <w:adjustRightInd w:val="0"/>
              <w:snapToGrid w:val="0"/>
              <w:spacing w:line="360" w:lineRule="auto"/>
              <w:ind w:firstLine="480" w:firstLineChars="200"/>
              <w:jc w:val="left"/>
              <w:rPr>
                <w:color w:val="auto"/>
                <w:sz w:val="24"/>
              </w:rPr>
            </w:pPr>
            <w:r>
              <w:rPr>
                <w:color w:val="auto"/>
                <w:sz w:val="24"/>
              </w:rPr>
              <w:t>（5）建设单位应与周围公众建立畅通的交流渠道，及时充分吸纳公众提出的合理化建议，并付诸行动，切实落实各项污染防治措施，以杜绝污染扰民事件发生。</w:t>
            </w:r>
          </w:p>
          <w:p>
            <w:pPr>
              <w:widowControl/>
              <w:adjustRightInd w:val="0"/>
              <w:snapToGrid w:val="0"/>
              <w:spacing w:line="360" w:lineRule="auto"/>
              <w:ind w:firstLine="480" w:firstLineChars="200"/>
              <w:jc w:val="left"/>
              <w:rPr>
                <w:color w:val="auto"/>
                <w:sz w:val="24"/>
              </w:rPr>
            </w:pPr>
            <w:r>
              <w:rPr>
                <w:color w:val="auto"/>
                <w:sz w:val="24"/>
              </w:rPr>
              <w:t>（6）加强对职工的环保意识教育，积极宣传环保方针、政策、法规和典型事例，批评破坏环境的行为，传播环境科学知识，提高职工的环境意识，形成一种自觉保护环境的社会公德。加强管理，进行污染预防，杜绝环境污染事故。</w:t>
            </w:r>
          </w:p>
          <w:p>
            <w:pPr>
              <w:widowControl/>
              <w:adjustRightInd w:val="0"/>
              <w:snapToGrid w:val="0"/>
              <w:spacing w:line="360" w:lineRule="auto"/>
              <w:ind w:firstLine="480" w:firstLineChars="200"/>
              <w:jc w:val="left"/>
              <w:rPr>
                <w:color w:val="auto"/>
                <w:sz w:val="24"/>
              </w:rPr>
            </w:pPr>
            <w:r>
              <w:rPr>
                <w:color w:val="auto"/>
                <w:sz w:val="24"/>
              </w:rPr>
              <w:t>（7）做好厂内的绿化工作，以吸收有害气体，达到净化大气环境、滞尘降噪声的效果。</w:t>
            </w:r>
          </w:p>
          <w:p>
            <w:pPr>
              <w:widowControl/>
              <w:adjustRightInd w:val="0"/>
              <w:snapToGrid w:val="0"/>
              <w:spacing w:line="360" w:lineRule="auto"/>
              <w:ind w:firstLine="480" w:firstLineChars="200"/>
              <w:jc w:val="left"/>
              <w:rPr>
                <w:color w:val="auto"/>
                <w:sz w:val="24"/>
              </w:rPr>
            </w:pPr>
            <w:r>
              <w:rPr>
                <w:color w:val="auto"/>
                <w:sz w:val="24"/>
              </w:rPr>
              <w:t>（8）严格执行项目现有生产工艺及生产规模，今后一旦发生变化应另行办理环保报建手续。</w:t>
            </w:r>
          </w:p>
          <w:p>
            <w:pPr>
              <w:adjustRightInd w:val="0"/>
              <w:snapToGrid w:val="0"/>
              <w:spacing w:line="360" w:lineRule="auto"/>
              <w:ind w:firstLine="482" w:firstLineChars="200"/>
              <w:rPr>
                <w:color w:val="auto"/>
              </w:rPr>
            </w:pPr>
            <w:r>
              <w:rPr>
                <w:b/>
                <w:color w:val="auto"/>
                <w:sz w:val="24"/>
                <w:lang w:val="zh-CN"/>
              </w:rPr>
              <w:t>综上所述，项目在</w:t>
            </w:r>
            <w:r>
              <w:rPr>
                <w:b/>
                <w:color w:val="auto"/>
                <w:sz w:val="24"/>
              </w:rPr>
              <w:t>符合有关安全和消防的要求下，</w:t>
            </w:r>
            <w:r>
              <w:rPr>
                <w:b/>
                <w:color w:val="auto"/>
                <w:sz w:val="24"/>
                <w:lang w:val="zh-CN"/>
              </w:rPr>
              <w:t>切实落实“三同时”和本评价所要求的污染防治措施，在正常情况下，对该区域的环境影响可以承受。</w:t>
            </w:r>
            <w:r>
              <w:rPr>
                <w:b/>
                <w:color w:val="auto"/>
                <w:sz w:val="24"/>
              </w:rPr>
              <w:t>因此，</w:t>
            </w:r>
            <w:r>
              <w:rPr>
                <w:b/>
                <w:bCs/>
                <w:color w:val="auto"/>
                <w:sz w:val="24"/>
              </w:rPr>
              <w:t>在充分落实上述建议措施的前提下，从环境保护角度而言，</w:t>
            </w:r>
            <w:r>
              <w:rPr>
                <w:rFonts w:hint="eastAsia"/>
                <w:b/>
                <w:bCs/>
                <w:color w:val="auto"/>
                <w:sz w:val="24"/>
              </w:rPr>
              <w:t>普宁市鹏润混凝土有限公司商品混凝土</w:t>
            </w:r>
            <w:r>
              <w:rPr>
                <w:b/>
                <w:bCs/>
                <w:color w:val="auto"/>
                <w:sz w:val="24"/>
              </w:rPr>
              <w:t>建设项目</w:t>
            </w:r>
            <w:r>
              <w:rPr>
                <w:b/>
                <w:bCs/>
                <w:color w:val="auto"/>
                <w:sz w:val="24"/>
                <w:lang w:val="zh-CN"/>
              </w:rPr>
              <w:t>在</w:t>
            </w:r>
            <w:r>
              <w:rPr>
                <w:rFonts w:hint="eastAsia"/>
                <w:b/>
                <w:bCs/>
                <w:color w:val="auto"/>
                <w:sz w:val="24"/>
              </w:rPr>
              <w:t>普宁市军埠镇大长陇工业区</w:t>
            </w:r>
            <w:r>
              <w:rPr>
                <w:rFonts w:hint="eastAsia"/>
                <w:color w:val="auto"/>
                <w:sz w:val="24"/>
              </w:rPr>
              <w:t>荣祥</w:t>
            </w:r>
            <w:r>
              <w:rPr>
                <w:color w:val="auto"/>
                <w:sz w:val="24"/>
              </w:rPr>
              <w:t>楼</w:t>
            </w:r>
            <w:r>
              <w:rPr>
                <w:b/>
                <w:color w:val="auto"/>
                <w:sz w:val="24"/>
                <w:lang w:val="zh-CN"/>
              </w:rPr>
              <w:t>的建设运营是可行的。建设单</w:t>
            </w:r>
            <w:r>
              <w:rPr>
                <w:b/>
                <w:color w:val="auto"/>
                <w:sz w:val="24"/>
              </w:rPr>
              <w:t>位应按有关管理条例严格做好安全管理工作，杜绝事故发生。</w:t>
            </w:r>
          </w:p>
          <w:p>
            <w:pPr>
              <w:pStyle w:val="70"/>
              <w:ind w:firstLine="480" w:firstLineChars="200"/>
              <w:rPr>
                <w:rFonts w:ascii="Times New Roman"/>
                <w:color w:val="auto"/>
                <w:kern w:val="2"/>
                <w:szCs w:val="24"/>
              </w:rPr>
            </w:pPr>
          </w:p>
          <w:p>
            <w:pPr>
              <w:pStyle w:val="70"/>
              <w:ind w:firstLine="480" w:firstLineChars="200"/>
              <w:rPr>
                <w:rFonts w:ascii="Times New Roman"/>
                <w:color w:val="auto"/>
                <w:kern w:val="2"/>
                <w:szCs w:val="24"/>
              </w:rPr>
            </w:pPr>
            <w:r>
              <w:rPr>
                <w:rFonts w:ascii="Times New Roman"/>
                <w:color w:val="auto"/>
                <w:kern w:val="2"/>
                <w:szCs w:val="24"/>
              </w:rPr>
              <w:t>声明：</w:t>
            </w:r>
          </w:p>
          <w:p>
            <w:pPr>
              <w:pStyle w:val="70"/>
              <w:ind w:firstLine="960" w:firstLineChars="400"/>
              <w:rPr>
                <w:rFonts w:ascii="Times New Roman"/>
                <w:color w:val="auto"/>
                <w:kern w:val="2"/>
                <w:szCs w:val="24"/>
              </w:rPr>
            </w:pPr>
            <w:r>
              <w:rPr>
                <w:rFonts w:ascii="Times New Roman"/>
                <w:color w:val="auto"/>
                <w:kern w:val="2"/>
                <w:szCs w:val="24"/>
              </w:rPr>
              <w:t>本单位认可本报告的全部内容。</w:t>
            </w:r>
          </w:p>
          <w:p>
            <w:pPr>
              <w:pStyle w:val="70"/>
              <w:ind w:firstLine="480" w:firstLineChars="200"/>
              <w:jc w:val="center"/>
              <w:rPr>
                <w:rFonts w:ascii="Times New Roman"/>
                <w:color w:val="auto"/>
                <w:kern w:val="2"/>
                <w:szCs w:val="24"/>
              </w:rPr>
            </w:pPr>
          </w:p>
          <w:p>
            <w:pPr>
              <w:pStyle w:val="70"/>
              <w:ind w:firstLine="480" w:firstLineChars="200"/>
              <w:jc w:val="center"/>
              <w:rPr>
                <w:rFonts w:ascii="Times New Roman"/>
                <w:color w:val="auto"/>
                <w:kern w:val="2"/>
                <w:szCs w:val="24"/>
                <w:u w:val="single"/>
              </w:rPr>
            </w:pPr>
            <w:r>
              <w:rPr>
                <w:rFonts w:ascii="Times New Roman"/>
                <w:color w:val="auto"/>
                <w:kern w:val="2"/>
                <w:szCs w:val="24"/>
              </w:rPr>
              <w:t>单位法人或授权代表签章：</w:t>
            </w:r>
          </w:p>
          <w:p>
            <w:pPr>
              <w:pStyle w:val="70"/>
              <w:ind w:firstLine="5040" w:firstLineChars="2100"/>
              <w:rPr>
                <w:rFonts w:ascii="Times New Roman"/>
                <w:color w:val="auto"/>
                <w:kern w:val="2"/>
                <w:szCs w:val="24"/>
              </w:rPr>
            </w:pPr>
            <w:r>
              <w:rPr>
                <w:rFonts w:ascii="Times New Roman"/>
                <w:color w:val="auto"/>
                <w:kern w:val="2"/>
                <w:szCs w:val="24"/>
              </w:rPr>
              <w:t>年</w:t>
            </w:r>
            <w:r>
              <w:rPr>
                <w:rFonts w:hint="eastAsia" w:ascii="Times New Roman"/>
                <w:color w:val="auto"/>
                <w:kern w:val="2"/>
                <w:szCs w:val="24"/>
              </w:rPr>
              <w:t xml:space="preserve">   </w:t>
            </w:r>
            <w:r>
              <w:rPr>
                <w:rFonts w:ascii="Times New Roman"/>
                <w:color w:val="auto"/>
                <w:kern w:val="2"/>
                <w:szCs w:val="24"/>
              </w:rPr>
              <w:t>月</w:t>
            </w:r>
            <w:r>
              <w:rPr>
                <w:rFonts w:hint="eastAsia" w:ascii="Times New Roman"/>
                <w:color w:val="auto"/>
                <w:kern w:val="2"/>
                <w:szCs w:val="24"/>
              </w:rPr>
              <w:t xml:space="preserve">  </w:t>
            </w:r>
            <w:r>
              <w:rPr>
                <w:rFonts w:ascii="Times New Roman"/>
                <w:color w:val="auto"/>
                <w:kern w:val="2"/>
                <w:szCs w:val="24"/>
              </w:rPr>
              <w:t>日</w:t>
            </w:r>
          </w:p>
          <w:p>
            <w:pPr>
              <w:pStyle w:val="70"/>
              <w:ind w:firstLine="5040" w:firstLineChars="2100"/>
              <w:rPr>
                <w:rFonts w:ascii="Times New Roman"/>
                <w:color w:val="auto"/>
                <w:kern w:val="2"/>
                <w:szCs w:val="24"/>
              </w:rPr>
            </w:pPr>
          </w:p>
          <w:p>
            <w:pPr>
              <w:pStyle w:val="70"/>
              <w:ind w:firstLine="5040" w:firstLineChars="2100"/>
              <w:rPr>
                <w:rFonts w:ascii="Times New Roman"/>
                <w:color w:val="auto"/>
                <w:kern w:val="2"/>
                <w:szCs w:val="24"/>
              </w:rPr>
            </w:pPr>
          </w:p>
          <w:p>
            <w:pPr>
              <w:pStyle w:val="70"/>
              <w:ind w:firstLine="5040" w:firstLineChars="2100"/>
              <w:rPr>
                <w:rFonts w:ascii="Times New Roman"/>
                <w:color w:val="auto"/>
                <w:kern w:val="2"/>
                <w:szCs w:val="24"/>
              </w:rPr>
            </w:pPr>
          </w:p>
          <w:p>
            <w:pPr>
              <w:pStyle w:val="70"/>
              <w:ind w:firstLine="5040" w:firstLineChars="2100"/>
              <w:rPr>
                <w:rFonts w:ascii="Times New Roman"/>
                <w:color w:val="auto"/>
                <w:kern w:val="2"/>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09" w:type="dxa"/>
          <w:trHeight w:val="141" w:hRule="atLeast"/>
          <w:jc w:val="center"/>
        </w:trPr>
        <w:tc>
          <w:tcPr>
            <w:tcW w:w="9111" w:type="dxa"/>
          </w:tcPr>
          <w:p>
            <w:pPr>
              <w:ind w:right="105" w:rightChars="50"/>
              <w:rPr>
                <w:color w:val="auto"/>
                <w:sz w:val="28"/>
                <w:szCs w:val="28"/>
              </w:rPr>
            </w:pPr>
            <w:r>
              <w:rPr>
                <w:color w:val="auto"/>
                <w:sz w:val="28"/>
                <w:szCs w:val="28"/>
              </w:rPr>
              <w:t>预审意见：</w:t>
            </w:r>
          </w:p>
          <w:p>
            <w:pPr>
              <w:ind w:left="105" w:leftChars="50" w:right="105" w:rightChars="50"/>
              <w:rPr>
                <w:color w:val="auto"/>
                <w:sz w:val="28"/>
                <w:szCs w:val="28"/>
              </w:rPr>
            </w:pPr>
          </w:p>
          <w:p>
            <w:pPr>
              <w:pStyle w:val="2"/>
              <w:ind w:firstLine="560"/>
              <w:rPr>
                <w:color w:val="auto"/>
                <w:sz w:val="28"/>
                <w:szCs w:val="28"/>
              </w:rPr>
            </w:pPr>
          </w:p>
          <w:p>
            <w:pPr>
              <w:pStyle w:val="2"/>
              <w:ind w:firstLine="560"/>
              <w:rPr>
                <w:color w:val="auto"/>
                <w:sz w:val="28"/>
                <w:szCs w:val="28"/>
              </w:rPr>
            </w:pPr>
          </w:p>
          <w:p>
            <w:pPr>
              <w:pStyle w:val="2"/>
              <w:ind w:firstLine="560"/>
              <w:rPr>
                <w:color w:val="auto"/>
                <w:sz w:val="28"/>
                <w:szCs w:val="28"/>
              </w:rPr>
            </w:pPr>
          </w:p>
          <w:p>
            <w:pPr>
              <w:pStyle w:val="2"/>
              <w:ind w:firstLine="560"/>
              <w:rPr>
                <w:color w:val="auto"/>
                <w:sz w:val="28"/>
                <w:szCs w:val="28"/>
              </w:rPr>
            </w:pPr>
          </w:p>
          <w:p>
            <w:pPr>
              <w:pStyle w:val="2"/>
              <w:ind w:firstLine="560"/>
              <w:rPr>
                <w:color w:val="auto"/>
                <w:sz w:val="28"/>
                <w:szCs w:val="28"/>
              </w:rPr>
            </w:pPr>
          </w:p>
          <w:p>
            <w:pPr>
              <w:pStyle w:val="2"/>
              <w:ind w:firstLine="560"/>
              <w:rPr>
                <w:color w:val="auto"/>
                <w:sz w:val="28"/>
                <w:szCs w:val="28"/>
              </w:rPr>
            </w:pPr>
          </w:p>
          <w:p>
            <w:pPr>
              <w:pStyle w:val="2"/>
              <w:rPr>
                <w:color w:val="auto"/>
                <w:sz w:val="28"/>
                <w:szCs w:val="28"/>
              </w:rPr>
            </w:pPr>
            <w:r>
              <w:rPr>
                <w:color w:val="auto"/>
              </w:rPr>
              <w:t>　　　　　　　　　　　　　　　　　　　　　　　　　　　　</w:t>
            </w:r>
            <w:r>
              <w:rPr>
                <w:color w:val="auto"/>
                <w:sz w:val="28"/>
                <w:szCs w:val="28"/>
              </w:rPr>
              <w:t>公　章</w:t>
            </w:r>
          </w:p>
          <w:p>
            <w:pPr>
              <w:pStyle w:val="2"/>
              <w:ind w:firstLine="560"/>
              <w:rPr>
                <w:color w:val="auto"/>
                <w:sz w:val="28"/>
                <w:szCs w:val="28"/>
              </w:rPr>
            </w:pPr>
            <w:r>
              <w:rPr>
                <w:color w:val="auto"/>
                <w:sz w:val="28"/>
                <w:szCs w:val="28"/>
              </w:rPr>
              <w:t>经办人：　　　　　　　　　　　　　　　　　　年　　月　　日</w:t>
            </w:r>
          </w:p>
          <w:p>
            <w:pPr>
              <w:pStyle w:val="2"/>
              <w:ind w:firstLine="560"/>
              <w:rPr>
                <w:color w:val="auto"/>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09" w:type="dxa"/>
          <w:trHeight w:val="141" w:hRule="atLeast"/>
          <w:jc w:val="center"/>
        </w:trPr>
        <w:tc>
          <w:tcPr>
            <w:tcW w:w="9111" w:type="dxa"/>
          </w:tcPr>
          <w:p>
            <w:pPr>
              <w:spacing w:before="120"/>
              <w:ind w:left="105" w:leftChars="50" w:right="105" w:rightChars="50"/>
              <w:rPr>
                <w:color w:val="auto"/>
                <w:sz w:val="28"/>
                <w:szCs w:val="28"/>
              </w:rPr>
            </w:pPr>
            <w:r>
              <w:rPr>
                <w:color w:val="auto"/>
                <w:sz w:val="28"/>
                <w:szCs w:val="28"/>
              </w:rPr>
              <w:t>下一级环境保护行政主管部门审查意见：</w:t>
            </w:r>
          </w:p>
          <w:p>
            <w:pPr>
              <w:ind w:left="105" w:leftChars="50" w:right="105" w:rightChars="50"/>
              <w:rPr>
                <w:color w:val="auto"/>
                <w:sz w:val="28"/>
                <w:szCs w:val="28"/>
              </w:rPr>
            </w:pPr>
          </w:p>
          <w:p>
            <w:pPr>
              <w:ind w:left="105" w:leftChars="50" w:right="105" w:rightChars="50"/>
              <w:rPr>
                <w:color w:val="auto"/>
                <w:sz w:val="28"/>
                <w:szCs w:val="28"/>
              </w:rPr>
            </w:pPr>
          </w:p>
          <w:p>
            <w:pPr>
              <w:ind w:left="105" w:leftChars="50" w:right="105" w:rightChars="50"/>
              <w:rPr>
                <w:color w:val="auto"/>
                <w:sz w:val="28"/>
                <w:szCs w:val="28"/>
              </w:rPr>
            </w:pPr>
          </w:p>
          <w:p>
            <w:pPr>
              <w:ind w:left="105" w:leftChars="50" w:right="105" w:rightChars="50"/>
              <w:rPr>
                <w:color w:val="auto"/>
                <w:sz w:val="28"/>
                <w:szCs w:val="28"/>
              </w:rPr>
            </w:pPr>
          </w:p>
          <w:p>
            <w:pPr>
              <w:ind w:left="105" w:leftChars="50" w:right="105" w:rightChars="50"/>
              <w:rPr>
                <w:color w:val="auto"/>
                <w:sz w:val="28"/>
                <w:szCs w:val="28"/>
              </w:rPr>
            </w:pPr>
          </w:p>
          <w:p>
            <w:pPr>
              <w:ind w:left="105" w:leftChars="50" w:right="105" w:rightChars="50"/>
              <w:rPr>
                <w:color w:val="auto"/>
                <w:sz w:val="28"/>
                <w:szCs w:val="28"/>
              </w:rPr>
            </w:pPr>
          </w:p>
          <w:p>
            <w:pPr>
              <w:ind w:left="105" w:leftChars="50" w:right="105" w:rightChars="50"/>
              <w:rPr>
                <w:color w:val="auto"/>
                <w:sz w:val="28"/>
                <w:szCs w:val="28"/>
              </w:rPr>
            </w:pPr>
          </w:p>
          <w:p>
            <w:pPr>
              <w:pStyle w:val="2"/>
              <w:rPr>
                <w:color w:val="auto"/>
                <w:sz w:val="28"/>
                <w:szCs w:val="28"/>
              </w:rPr>
            </w:pPr>
            <w:r>
              <w:rPr>
                <w:color w:val="auto"/>
              </w:rPr>
              <w:t>　　　　　　　　　　　　　　　　　　　　　　</w:t>
            </w:r>
            <w:r>
              <w:rPr>
                <w:color w:val="auto"/>
                <w:sz w:val="28"/>
                <w:szCs w:val="28"/>
              </w:rPr>
              <w:t>公　章</w:t>
            </w:r>
          </w:p>
          <w:p>
            <w:pPr>
              <w:pStyle w:val="2"/>
              <w:ind w:firstLine="0" w:firstLineChars="0"/>
              <w:rPr>
                <w:color w:val="auto"/>
                <w:sz w:val="28"/>
                <w:szCs w:val="28"/>
              </w:rPr>
            </w:pPr>
            <w:r>
              <w:rPr>
                <w:color w:val="auto"/>
                <w:sz w:val="28"/>
                <w:szCs w:val="28"/>
              </w:rPr>
              <w:t>经办人：　　　　　　　　　　　　　　　　　　年　　月　　日</w:t>
            </w:r>
          </w:p>
          <w:p>
            <w:pPr>
              <w:pStyle w:val="67"/>
              <w:rPr>
                <w:rFonts w:ascii="Times New Roman" w:cs="Times New Roman"/>
                <w:color w:val="auto"/>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09" w:type="dxa"/>
          <w:trHeight w:val="10905" w:hRule="atLeast"/>
          <w:jc w:val="center"/>
        </w:trPr>
        <w:tc>
          <w:tcPr>
            <w:tcW w:w="9111" w:type="dxa"/>
          </w:tcPr>
          <w:p>
            <w:pPr>
              <w:spacing w:before="120"/>
              <w:ind w:left="105" w:leftChars="50" w:right="105" w:rightChars="50"/>
              <w:rPr>
                <w:color w:val="auto"/>
                <w:sz w:val="28"/>
                <w:szCs w:val="28"/>
              </w:rPr>
            </w:pPr>
            <w:r>
              <w:rPr>
                <w:color w:val="auto"/>
                <w:sz w:val="28"/>
                <w:szCs w:val="28"/>
              </w:rPr>
              <w:t>审批意见：</w:t>
            </w: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spacing w:before="120"/>
              <w:ind w:left="105" w:leftChars="50" w:right="105" w:rightChars="50"/>
              <w:rPr>
                <w:color w:val="auto"/>
                <w:sz w:val="28"/>
                <w:szCs w:val="28"/>
              </w:rPr>
            </w:pPr>
          </w:p>
          <w:p>
            <w:pPr>
              <w:pStyle w:val="2"/>
              <w:ind w:firstLine="0" w:firstLineChars="0"/>
              <w:rPr>
                <w:color w:val="auto"/>
                <w:sz w:val="28"/>
                <w:szCs w:val="28"/>
              </w:rPr>
            </w:pPr>
          </w:p>
          <w:p>
            <w:pPr>
              <w:pStyle w:val="68"/>
              <w:ind w:firstLine="0" w:firstLineChars="0"/>
              <w:rPr>
                <w:rFonts w:cs="Times New Roman"/>
                <w:color w:val="auto"/>
                <w:szCs w:val="28"/>
              </w:rPr>
            </w:pPr>
          </w:p>
          <w:p>
            <w:pPr>
              <w:pStyle w:val="2"/>
              <w:rPr>
                <w:color w:val="auto"/>
                <w:sz w:val="28"/>
                <w:szCs w:val="28"/>
              </w:rPr>
            </w:pPr>
            <w:r>
              <w:rPr>
                <w:color w:val="auto"/>
              </w:rPr>
              <w:t>　　　　　　　　　　　　　　　　　　　　　　</w:t>
            </w:r>
            <w:r>
              <w:rPr>
                <w:color w:val="auto"/>
                <w:sz w:val="28"/>
                <w:szCs w:val="28"/>
              </w:rPr>
              <w:t>公　章</w:t>
            </w:r>
          </w:p>
          <w:p>
            <w:pPr>
              <w:pStyle w:val="2"/>
              <w:ind w:firstLine="0" w:firstLineChars="0"/>
              <w:rPr>
                <w:color w:val="auto"/>
                <w:sz w:val="28"/>
                <w:szCs w:val="28"/>
              </w:rPr>
            </w:pPr>
            <w:r>
              <w:rPr>
                <w:color w:val="auto"/>
                <w:sz w:val="28"/>
                <w:szCs w:val="28"/>
              </w:rPr>
              <w:t>经办人：　　　　　　　　　　　　　　　　　　年　　月　　日</w:t>
            </w:r>
          </w:p>
          <w:p>
            <w:pPr>
              <w:pStyle w:val="68"/>
              <w:ind w:firstLine="840" w:firstLineChars="300"/>
              <w:rPr>
                <w:rFonts w:cs="Times New Roman"/>
                <w:color w:val="auto"/>
                <w:szCs w:val="28"/>
              </w:rPr>
            </w:pPr>
          </w:p>
        </w:tc>
      </w:tr>
    </w:tbl>
    <w:p>
      <w:pPr>
        <w:pStyle w:val="68"/>
        <w:ind w:firstLine="0" w:firstLineChars="0"/>
        <w:rPr>
          <w:rFonts w:cs="Times New Roman"/>
          <w:color w:val="auto"/>
        </w:rPr>
      </w:pPr>
    </w:p>
    <w:bookmarkEnd w:id="78"/>
    <w:sectPr>
      <w:headerReference r:id="rId11" w:type="default"/>
      <w:footerReference r:id="rId12" w:type="default"/>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Century Gothic"/>
    <w:panose1 w:val="020F0502020204030204"/>
    <w:charset w:val="00"/>
    <w:family w:val="swiss"/>
    <w:pitch w:val="default"/>
    <w:sig w:usb0="00000000" w:usb1="00000000" w:usb2="00000001" w:usb3="00000000" w:csb0="0000019F" w:csb1="00000000"/>
  </w:font>
  <w:font w:name="Arial">
    <w:panose1 w:val="020B0604020202020204"/>
    <w:charset w:val="00"/>
    <w:family w:val="swiss"/>
    <w:pitch w:val="default"/>
    <w:sig w:usb0="00007A87" w:usb1="80000000" w:usb2="00000008" w:usb3="00000000" w:csb0="400001FF" w:csb1="FFFF0000"/>
  </w:font>
  <w:font w:name="等线 Light">
    <w:altName w:val="宋体"/>
    <w:panose1 w:val="02010600030101010101"/>
    <w:charset w:val="86"/>
    <w:family w:val="auto"/>
    <w:pitch w:val="default"/>
    <w:sig w:usb0="00000000" w:usb1="00000000" w:usb2="00000016" w:usb3="00000000" w:csb0="0004000F" w:csb1="00000000"/>
  </w:font>
  <w:font w:name="Microsoft YaHei UI">
    <w:altName w:val="宋体"/>
    <w:panose1 w:val="020B0503020204020204"/>
    <w:charset w:val="86"/>
    <w:family w:val="swiss"/>
    <w:pitch w:val="default"/>
    <w:sig w:usb0="00000000" w:usb1="00000000" w:usb2="00000016" w:usb3="00000000" w:csb0="0004001F" w:csb1="00000000"/>
  </w:font>
  <w:font w:name="Courier New">
    <w:panose1 w:val="02070309020205020404"/>
    <w:charset w:val="00"/>
    <w:family w:val="modern"/>
    <w:pitch w:val="default"/>
    <w:sig w:usb0="00007A87" w:usb1="80000000" w:usb2="00000008" w:usb3="00000000" w:csb0="400001FF" w:csb1="FFFF0000"/>
  </w:font>
  <w:font w:name="楷体_GB2312">
    <w:panose1 w:val="02010609030101010101"/>
    <w:charset w:val="86"/>
    <w:family w:val="modern"/>
    <w:pitch w:val="default"/>
    <w:sig w:usb0="00000001" w:usb1="080E0000" w:usb2="00000000" w:usb3="00000000" w:csb0="00040000" w:csb1="00000000"/>
  </w:font>
  <w:font w:name="Impact">
    <w:panose1 w:val="020B0806030902050204"/>
    <w:charset w:val="00"/>
    <w:family w:val="swiss"/>
    <w:pitch w:val="default"/>
    <w:sig w:usb0="00000287" w:usb1="00000000" w:usb2="00000000" w:usb3="00000000" w:csb0="2000009F" w:csb1="DFD70000"/>
  </w:font>
  <w:font w:name="Tms Rmn">
    <w:altName w:val="Times New Roman"/>
    <w:panose1 w:val="02020603040505020304"/>
    <w:charset w:val="00"/>
    <w:family w:val="roman"/>
    <w:pitch w:val="default"/>
    <w:sig w:usb0="00000000" w:usb1="00000000" w:usb2="00000000" w:usb3="00000000" w:csb0="00000001" w:csb1="00000000"/>
  </w:font>
  <w:font w:name="Verdana">
    <w:panose1 w:val="020B0604030504040204"/>
    <w:charset w:val="00"/>
    <w:family w:val="swiss"/>
    <w:pitch w:val="default"/>
    <w:sig w:usb0="00000287" w:usb1="00000000"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体">
    <w:altName w:val="宋体"/>
    <w:panose1 w:val="00000000000000000000"/>
    <w:charset w:val="86"/>
    <w:family w:val="swiss"/>
    <w:pitch w:val="default"/>
    <w:sig w:usb0="00000000" w:usb1="00000000" w:usb2="00000010" w:usb3="00000000" w:csb0="00040000" w:csb1="00000000"/>
  </w:font>
  <w:font w:name="Tahoma">
    <w:panose1 w:val="020B0604030504040204"/>
    <w:charset w:val="00"/>
    <w:family w:val="swiss"/>
    <w:pitch w:val="default"/>
    <w:sig w:usb0="61007A87" w:usb1="80000000" w:usb2="00000008" w:usb3="00000000" w:csb0="200101FF" w:csb1="20280000"/>
  </w:font>
  <w:font w:name="方正仿宋_GBK">
    <w:altName w:val="宋体"/>
    <w:panose1 w:val="00000000000000000000"/>
    <w:charset w:val="86"/>
    <w:family w:val="script"/>
    <w:pitch w:val="default"/>
    <w:sig w:usb0="00000000" w:usb1="00000000" w:usb2="00000010" w:usb3="00000000" w:csb0="00040000" w:csb1="00000000"/>
  </w:font>
  <w:font w:name="Wingdings 2">
    <w:panose1 w:val="05020102010507070707"/>
    <w:charset w:val="02"/>
    <w:family w:val="roman"/>
    <w:pitch w:val="default"/>
    <w:sig w:usb0="00000000" w:usb1="00000000" w:usb2="00000000" w:usb3="00000000" w:csb0="80000000" w:csb1="00000000"/>
  </w:font>
  <w:font w:name="等线">
    <w:altName w:val="宋体"/>
    <w:panose1 w:val="02010600030101010101"/>
    <w:charset w:val="86"/>
    <w:family w:val="auto"/>
    <w:pitch w:val="default"/>
    <w:sig w:usb0="00000000" w:usb1="00000000" w:usb2="00000016" w:usb3="00000000" w:csb0="0004000F" w:csb1="00000000"/>
  </w:font>
  <w:font w:name="等线">
    <w:altName w:val="Courier New"/>
    <w:panose1 w:val="00000000000000000000"/>
    <w:charset w:val="00"/>
    <w:family w:val="auto"/>
    <w:pitch w:val="default"/>
    <w:sig w:usb0="00000000" w:usb1="00000000" w:usb2="00000000" w:usb3="00000000" w:csb0="00000000" w:csb1="00000000"/>
  </w:font>
  <w:font w:name="MS PGothic">
    <w:panose1 w:val="020B0600070205080204"/>
    <w:charset w:val="80"/>
    <w:family w:val="auto"/>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ind w:firstLine="360"/>
      <w:rPr>
        <w:rStyle w:val="33"/>
      </w:rPr>
    </w:pPr>
    <w:r>
      <w:rPr>
        <w:rStyle w:val="33"/>
      </w:rPr>
      <w:fldChar w:fldCharType="begin"/>
    </w:r>
    <w:r>
      <w:rPr>
        <w:rStyle w:val="33"/>
      </w:rPr>
      <w:instrText xml:space="preserve">PAGE  </w:instrText>
    </w:r>
    <w:r>
      <w:rPr>
        <w:rStyle w:val="33"/>
      </w:rPr>
      <w:fldChar w:fldCharType="end"/>
    </w:r>
  </w:p>
  <w:p>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70437539"/>
      <w:docPartObj>
        <w:docPartGallery w:val="AutoText"/>
      </w:docPartObj>
    </w:sdtPr>
    <w:sdtContent>
      <w:p>
        <w:pPr>
          <w:pStyle w:val="20"/>
          <w:jc w:val="center"/>
        </w:pPr>
        <w:r>
          <w:fldChar w:fldCharType="begin"/>
        </w:r>
        <w:r>
          <w:instrText xml:space="preserve">PAGE   \* MERGEFORMAT</w:instrText>
        </w:r>
        <w:r>
          <w:fldChar w:fldCharType="separate"/>
        </w:r>
        <w:r>
          <w:rPr>
            <w:lang w:val="zh-CN"/>
          </w:rPr>
          <w:t>45</w:t>
        </w:r>
        <w:r>
          <w:rPr>
            <w:lang w:val="zh-CN"/>
          </w:rPr>
          <w:fldChar w:fldCharType="end"/>
        </w:r>
      </w:p>
    </w:sdtContent>
  </w:sdt>
  <w:p>
    <w:pPr>
      <w:pStyle w:val="20"/>
      <w:spacing w:line="480" w:lineRule="auto"/>
      <w:ind w:firstLine="363"/>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line="480" w:lineRule="auto"/>
      <w:ind w:firstLine="363"/>
    </w:pPr>
    <w:r>
      <w:pict>
        <v:shape id="_x0000_s2055" o:spid="_x0000_s2055" o:spt="202" type="#_x0000_t202" style="position:absolute;left:0pt;margin-top:0pt;height:10.35pt;width:4.55pt;mso-position-horizontal:center;mso-position-horizontal-relative:margin;mso-wrap-style:none;z-index:251660288;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">
          <v:path/>
          <v:fill on="f" focussize="0,0"/>
          <v:stroke on="f" weight="0.5pt" joinstyle="miter"/>
          <v:imagedata o:title=""/>
          <o:lock v:ext="edit"/>
          <v:textbox inset="0mm,0mm,0mm,0mm" style="mso-fit-shape-to-text:t;">
            <w:txbxContent>
              <w:p>
                <w:pPr>
                  <w:pStyle w:val="20"/>
                </w:pPr>
                <w:r>
                  <w:fldChar w:fldCharType="begin"/>
                </w:r>
                <w:r>
                  <w:instrText xml:space="preserve"> PAGE  \* MERGEFORMAT </w:instrText>
                </w:r>
                <w:r>
                  <w:fldChar w:fldCharType="separate"/>
                </w:r>
                <w:r>
                  <w:t>1</w:t>
                </w:r>
                <w: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line="480" w:lineRule="auto"/>
      <w:jc w:val="center"/>
    </w:pPr>
    <w:r>
      <w:pict>
        <v:shape id="文本框 75" o:spid="_x0000_s2049" o:spt="202" type="#_x0000_t202" style="position:absolute;left:0pt;margin-top:0pt;height:10.35pt;width:9.05pt;mso-position-horizontal:center;mso-position-horizontal-relative:margin;mso-wrap-style:none;z-index:251658240;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">
          <v:path/>
          <v:fill on="f" focussize="0,0"/>
          <v:stroke on="f" weight="0.5pt" joinstyle="miter"/>
          <v:imagedata o:title=""/>
          <o:lock v:ext="edit"/>
          <v:textbox inset="0mm,0mm,0mm,0mm" style="mso-fit-shape-to-text:t;">
            <w:txbxContent>
              <w:p>
                <w:pPr>
                  <w:pStyle w:val="20"/>
                </w:pPr>
                <w:r>
                  <w:fldChar w:fldCharType="begin"/>
                </w:r>
                <w:r>
                  <w:instrText xml:space="preserve"> PAGE  \* MERGEFORMAT </w:instrText>
                </w:r>
                <w:r>
                  <w:fldChar w:fldCharType="separate"/>
                </w:r>
                <w:r>
                  <w:t>68</w:t>
                </w:r>
                <w: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A206EF7"/>
    <w:multiLevelType w:val="singleLevel"/>
    <w:tmpl w:val="AA206EF7"/>
    <w:lvl w:ilvl="0" w:tentative="0">
      <w:start w:val="1"/>
      <w:numFmt w:val="chineseCounting"/>
      <w:suff w:val="nothing"/>
      <w:lvlText w:val="（%1）"/>
      <w:lvlJc w:val="left"/>
      <w:rPr>
        <w:rFonts w:hint="eastAsia" w:cs="Times New Roman"/>
      </w:rPr>
    </w:lvl>
  </w:abstractNum>
  <w:abstractNum w:abstractNumId="1">
    <w:nsid w:val="EDD0FCC1"/>
    <w:multiLevelType w:val="singleLevel"/>
    <w:tmpl w:val="EDD0FCC1"/>
    <w:lvl w:ilvl="0" w:tentative="0">
      <w:start w:val="4"/>
      <w:numFmt w:val="decimal"/>
      <w:suff w:val="nothing"/>
      <w:lvlText w:val="%1、"/>
      <w:lvlJc w:val="left"/>
      <w:rPr>
        <w:rFonts w:cs="Times New Roman"/>
      </w:rPr>
    </w:lvl>
  </w:abstractNum>
  <w:abstractNum w:abstractNumId="2">
    <w:nsid w:val="00000015"/>
    <w:multiLevelType w:val="multilevel"/>
    <w:tmpl w:val="00000015"/>
    <w:lvl w:ilvl="0" w:tentative="0">
      <w:start w:val="1"/>
      <w:numFmt w:val="decimal"/>
      <w:lvlText w:val="%1、"/>
      <w:lvlJc w:val="left"/>
      <w:pPr>
        <w:tabs>
          <w:tab w:val="left" w:pos="4875"/>
        </w:tabs>
        <w:ind w:left="4875" w:hanging="360"/>
      </w:pPr>
      <w:rPr>
        <w:rFonts w:hint="eastAsia"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3">
    <w:nsid w:val="11593CC5"/>
    <w:multiLevelType w:val="multilevel"/>
    <w:tmpl w:val="11593CC5"/>
    <w:lvl w:ilvl="0" w:tentative="0">
      <w:start w:val="1"/>
      <w:numFmt w:val="decimal"/>
      <w:lvlText w:val="（%1）"/>
      <w:lvlJc w:val="left"/>
      <w:pPr>
        <w:ind w:left="1412" w:hanging="720"/>
      </w:pPr>
      <w:rPr>
        <w:rFonts w:hint="default"/>
      </w:rPr>
    </w:lvl>
    <w:lvl w:ilvl="1" w:tentative="0">
      <w:start w:val="1"/>
      <w:numFmt w:val="lowerLetter"/>
      <w:lvlText w:val="%2)"/>
      <w:lvlJc w:val="left"/>
      <w:pPr>
        <w:ind w:left="1532" w:hanging="420"/>
      </w:pPr>
    </w:lvl>
    <w:lvl w:ilvl="2" w:tentative="0">
      <w:start w:val="1"/>
      <w:numFmt w:val="lowerRoman"/>
      <w:lvlText w:val="%3."/>
      <w:lvlJc w:val="right"/>
      <w:pPr>
        <w:ind w:left="1952" w:hanging="420"/>
      </w:pPr>
    </w:lvl>
    <w:lvl w:ilvl="3" w:tentative="0">
      <w:start w:val="1"/>
      <w:numFmt w:val="decimal"/>
      <w:lvlText w:val="%4."/>
      <w:lvlJc w:val="left"/>
      <w:pPr>
        <w:ind w:left="2372" w:hanging="420"/>
      </w:pPr>
    </w:lvl>
    <w:lvl w:ilvl="4" w:tentative="0">
      <w:start w:val="1"/>
      <w:numFmt w:val="lowerLetter"/>
      <w:lvlText w:val="%5)"/>
      <w:lvlJc w:val="left"/>
      <w:pPr>
        <w:ind w:left="2792" w:hanging="420"/>
      </w:pPr>
    </w:lvl>
    <w:lvl w:ilvl="5" w:tentative="0">
      <w:start w:val="1"/>
      <w:numFmt w:val="lowerRoman"/>
      <w:lvlText w:val="%6."/>
      <w:lvlJc w:val="right"/>
      <w:pPr>
        <w:ind w:left="3212" w:hanging="420"/>
      </w:pPr>
    </w:lvl>
    <w:lvl w:ilvl="6" w:tentative="0">
      <w:start w:val="1"/>
      <w:numFmt w:val="decimal"/>
      <w:lvlText w:val="%7."/>
      <w:lvlJc w:val="left"/>
      <w:pPr>
        <w:ind w:left="3632" w:hanging="420"/>
      </w:pPr>
    </w:lvl>
    <w:lvl w:ilvl="7" w:tentative="0">
      <w:start w:val="1"/>
      <w:numFmt w:val="lowerLetter"/>
      <w:lvlText w:val="%8)"/>
      <w:lvlJc w:val="left"/>
      <w:pPr>
        <w:ind w:left="4052" w:hanging="420"/>
      </w:pPr>
    </w:lvl>
    <w:lvl w:ilvl="8" w:tentative="0">
      <w:start w:val="1"/>
      <w:numFmt w:val="lowerRoman"/>
      <w:lvlText w:val="%9."/>
      <w:lvlJc w:val="right"/>
      <w:pPr>
        <w:ind w:left="4472" w:hanging="420"/>
      </w:pPr>
    </w:lvl>
  </w:abstractNum>
  <w:abstractNum w:abstractNumId="4">
    <w:nsid w:val="131F3399"/>
    <w:multiLevelType w:val="multilevel"/>
    <w:tmpl w:val="131F3399"/>
    <w:lvl w:ilvl="0" w:tentative="0">
      <w:start w:val="6"/>
      <w:numFmt w:val="decimal"/>
      <w:lvlText w:val="%1、"/>
      <w:lvlJc w:val="left"/>
      <w:pPr>
        <w:ind w:left="857" w:hanging="375"/>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5">
    <w:nsid w:val="44973442"/>
    <w:multiLevelType w:val="singleLevel"/>
    <w:tmpl w:val="44973442"/>
    <w:lvl w:ilvl="0" w:tentative="0">
      <w:start w:val="1"/>
      <w:numFmt w:val="decimalEnclosedCircleChinese"/>
      <w:suff w:val="nothing"/>
      <w:lvlText w:val="%1　"/>
      <w:lvlJc w:val="left"/>
      <w:pPr>
        <w:ind w:firstLine="400"/>
      </w:pPr>
      <w:rPr>
        <w:rFonts w:hint="eastAsia" w:cs="Times New Roman"/>
      </w:rPr>
    </w:lvl>
  </w:abstractNum>
  <w:abstractNum w:abstractNumId="6">
    <w:nsid w:val="52E02F14"/>
    <w:multiLevelType w:val="multilevel"/>
    <w:tmpl w:val="52E02F14"/>
    <w:lvl w:ilvl="0" w:tentative="0">
      <w:start w:val="6"/>
      <w:numFmt w:val="decimal"/>
      <w:lvlText w:val="%1、"/>
      <w:lvlJc w:val="left"/>
      <w:pPr>
        <w:ind w:left="375" w:hanging="375"/>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58BE2E97"/>
    <w:multiLevelType w:val="singleLevel"/>
    <w:tmpl w:val="58BE2E97"/>
    <w:lvl w:ilvl="0" w:tentative="0">
      <w:start w:val="1"/>
      <w:numFmt w:val="chineseCounting"/>
      <w:suff w:val="nothing"/>
      <w:lvlText w:val="（%1）"/>
      <w:lvlJc w:val="left"/>
      <w:rPr>
        <w:rFonts w:cs="Times New Roman"/>
      </w:rPr>
    </w:lvl>
  </w:abstractNum>
  <w:abstractNum w:abstractNumId="8">
    <w:nsid w:val="58BE5EFB"/>
    <w:multiLevelType w:val="multilevel"/>
    <w:tmpl w:val="58BE5EFB"/>
    <w:lvl w:ilvl="0" w:tentative="0">
      <w:start w:val="1"/>
      <w:numFmt w:val="decimal"/>
      <w:suff w:val="space"/>
      <w:lvlText w:val="%1."/>
      <w:lvlJc w:val="left"/>
      <w:rPr>
        <w:rFonts w:cs="Times New Roman"/>
      </w:rPr>
    </w:lvl>
    <w:lvl w:ilvl="1" w:tentative="0">
      <w:start w:val="2"/>
      <w:numFmt w:val="decimal"/>
      <w:isLgl/>
      <w:lvlText w:val="%1.%2"/>
      <w:lvlJc w:val="left"/>
      <w:pPr>
        <w:ind w:left="540" w:hanging="540"/>
      </w:pPr>
      <w:rPr>
        <w:rFonts w:hint="default" w:cs="Times New Roman"/>
      </w:rPr>
    </w:lvl>
    <w:lvl w:ilvl="2" w:tentative="0">
      <w:start w:val="1"/>
      <w:numFmt w:val="decimal"/>
      <w:isLgl/>
      <w:lvlText w:val="%1.%2.%3"/>
      <w:lvlJc w:val="left"/>
      <w:pPr>
        <w:ind w:left="720" w:hanging="720"/>
      </w:pPr>
      <w:rPr>
        <w:rFonts w:hint="default" w:cs="Times New Roman"/>
      </w:rPr>
    </w:lvl>
    <w:lvl w:ilvl="3" w:tentative="0">
      <w:start w:val="1"/>
      <w:numFmt w:val="decimal"/>
      <w:isLgl/>
      <w:lvlText w:val="%1.%2.%3.%4"/>
      <w:lvlJc w:val="left"/>
      <w:pPr>
        <w:ind w:left="720" w:hanging="720"/>
      </w:pPr>
      <w:rPr>
        <w:rFonts w:hint="default" w:cs="Times New Roman"/>
      </w:rPr>
    </w:lvl>
    <w:lvl w:ilvl="4" w:tentative="0">
      <w:start w:val="1"/>
      <w:numFmt w:val="decimal"/>
      <w:isLgl/>
      <w:lvlText w:val="%1.%2.%3.%4.%5"/>
      <w:lvlJc w:val="left"/>
      <w:pPr>
        <w:ind w:left="1080" w:hanging="1080"/>
      </w:pPr>
      <w:rPr>
        <w:rFonts w:hint="default" w:cs="Times New Roman"/>
      </w:rPr>
    </w:lvl>
    <w:lvl w:ilvl="5" w:tentative="0">
      <w:start w:val="1"/>
      <w:numFmt w:val="decimal"/>
      <w:isLgl/>
      <w:lvlText w:val="%1.%2.%3.%4.%5.%6"/>
      <w:lvlJc w:val="left"/>
      <w:pPr>
        <w:ind w:left="1080" w:hanging="1080"/>
      </w:pPr>
      <w:rPr>
        <w:rFonts w:hint="default" w:cs="Times New Roman"/>
      </w:rPr>
    </w:lvl>
    <w:lvl w:ilvl="6" w:tentative="0">
      <w:start w:val="1"/>
      <w:numFmt w:val="decimal"/>
      <w:isLgl/>
      <w:lvlText w:val="%1.%2.%3.%4.%5.%6.%7"/>
      <w:lvlJc w:val="left"/>
      <w:pPr>
        <w:ind w:left="1080" w:hanging="1080"/>
      </w:pPr>
      <w:rPr>
        <w:rFonts w:hint="default" w:cs="Times New Roman"/>
      </w:rPr>
    </w:lvl>
    <w:lvl w:ilvl="7" w:tentative="0">
      <w:start w:val="1"/>
      <w:numFmt w:val="decimal"/>
      <w:isLgl/>
      <w:lvlText w:val="%1.%2.%3.%4.%5.%6.%7.%8"/>
      <w:lvlJc w:val="left"/>
      <w:pPr>
        <w:ind w:left="1440" w:hanging="1440"/>
      </w:pPr>
      <w:rPr>
        <w:rFonts w:hint="default" w:cs="Times New Roman"/>
      </w:rPr>
    </w:lvl>
    <w:lvl w:ilvl="8" w:tentative="0">
      <w:start w:val="1"/>
      <w:numFmt w:val="decimal"/>
      <w:isLgl/>
      <w:lvlText w:val="%1.%2.%3.%4.%5.%6.%7.%8.%9"/>
      <w:lvlJc w:val="left"/>
      <w:pPr>
        <w:ind w:left="1440" w:hanging="1440"/>
      </w:pPr>
      <w:rPr>
        <w:rFonts w:hint="default" w:cs="Times New Roman"/>
      </w:rPr>
    </w:lvl>
  </w:abstractNum>
  <w:abstractNum w:abstractNumId="9">
    <w:nsid w:val="58BE7EC1"/>
    <w:multiLevelType w:val="singleLevel"/>
    <w:tmpl w:val="58BE7EC1"/>
    <w:lvl w:ilvl="0" w:tentative="0">
      <w:start w:val="1"/>
      <w:numFmt w:val="decimal"/>
      <w:suff w:val="nothing"/>
      <w:lvlText w:val="%1）"/>
      <w:lvlJc w:val="left"/>
      <w:rPr>
        <w:rFonts w:cs="Times New Roman"/>
        <w:sz w:val="24"/>
        <w:szCs w:val="24"/>
      </w:rPr>
    </w:lvl>
  </w:abstractNum>
  <w:abstractNum w:abstractNumId="10">
    <w:nsid w:val="6A0466E6"/>
    <w:multiLevelType w:val="multilevel"/>
    <w:tmpl w:val="6A0466E6"/>
    <w:lvl w:ilvl="0" w:tentative="0">
      <w:start w:val="1"/>
      <w:numFmt w:val="japaneseCounting"/>
      <w:lvlText w:val="%1、"/>
      <w:lvlJc w:val="left"/>
      <w:pPr>
        <w:ind w:left="992" w:hanging="510"/>
      </w:pPr>
      <w:rPr>
        <w:rFonts w:hint="default"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11">
    <w:nsid w:val="6C57B206"/>
    <w:multiLevelType w:val="singleLevel"/>
    <w:tmpl w:val="6C57B206"/>
    <w:lvl w:ilvl="0" w:tentative="0">
      <w:start w:val="1"/>
      <w:numFmt w:val="chineseCounting"/>
      <w:suff w:val="nothing"/>
      <w:lvlText w:val="（%1）"/>
      <w:lvlJc w:val="left"/>
      <w:rPr>
        <w:rFonts w:hint="eastAsia" w:cs="Times New Roman"/>
      </w:rPr>
    </w:lvl>
  </w:abstractNum>
  <w:abstractNum w:abstractNumId="12">
    <w:nsid w:val="74757C45"/>
    <w:multiLevelType w:val="multilevel"/>
    <w:tmpl w:val="74757C45"/>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num w:numId="1">
    <w:abstractNumId w:val="2"/>
  </w:num>
  <w:num w:numId="2">
    <w:abstractNumId w:val="1"/>
  </w:num>
  <w:num w:numId="3">
    <w:abstractNumId w:val="4"/>
  </w:num>
  <w:num w:numId="4">
    <w:abstractNumId w:val="6"/>
  </w:num>
  <w:num w:numId="5">
    <w:abstractNumId w:val="7"/>
  </w:num>
  <w:num w:numId="6">
    <w:abstractNumId w:val="8"/>
  </w:num>
  <w:num w:numId="7">
    <w:abstractNumId w:val="0"/>
  </w:num>
  <w:num w:numId="8">
    <w:abstractNumId w:val="10"/>
  </w:num>
  <w:num w:numId="9">
    <w:abstractNumId w:val="3"/>
  </w:num>
  <w:num w:numId="10">
    <w:abstractNumId w:val="9"/>
  </w:num>
  <w:num w:numId="11">
    <w:abstractNumId w:val="11"/>
  </w:num>
  <w:num w:numId="12">
    <w:abstractNumId w:val="12"/>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1"/>
  <w:bordersDoNotSurroundFooter w:val="1"/>
  <w:hideSpellingErrors/>
  <w:documentProtection w:enforcement="0"/>
  <w:defaultTabStop w:val="420"/>
  <w:drawingGridHorizontalSpacing w:val="105"/>
  <w:drawingGridVerticalSpacing w:val="156"/>
  <w:noPunctuationKerning w:val="1"/>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doNotExpandShiftReturn/>
    <w:adjustLineHeightInTable/>
    <w:useFELayout/>
    <w:compatSetting w:name="compatibilityMode" w:uri="http://schemas.microsoft.com/office/word" w:val="12"/>
  </w:compat>
  <w:rsids>
    <w:rsidRoot w:val="00172A27"/>
    <w:rsid w:val="0000019A"/>
    <w:rsid w:val="0000027F"/>
    <w:rsid w:val="00000335"/>
    <w:rsid w:val="000008B6"/>
    <w:rsid w:val="00000C20"/>
    <w:rsid w:val="00000C44"/>
    <w:rsid w:val="000014E7"/>
    <w:rsid w:val="00001A0C"/>
    <w:rsid w:val="00001AD0"/>
    <w:rsid w:val="00001B3A"/>
    <w:rsid w:val="00001B64"/>
    <w:rsid w:val="0000261D"/>
    <w:rsid w:val="0000266A"/>
    <w:rsid w:val="000029D9"/>
    <w:rsid w:val="00002C8D"/>
    <w:rsid w:val="000032E3"/>
    <w:rsid w:val="00003B08"/>
    <w:rsid w:val="00003B67"/>
    <w:rsid w:val="00003BD9"/>
    <w:rsid w:val="00003C1B"/>
    <w:rsid w:val="00003E29"/>
    <w:rsid w:val="00003E8F"/>
    <w:rsid w:val="000049AA"/>
    <w:rsid w:val="000057FD"/>
    <w:rsid w:val="00005D4E"/>
    <w:rsid w:val="0000661C"/>
    <w:rsid w:val="000066CC"/>
    <w:rsid w:val="00006BA8"/>
    <w:rsid w:val="0000701D"/>
    <w:rsid w:val="00007202"/>
    <w:rsid w:val="0000768E"/>
    <w:rsid w:val="00007972"/>
    <w:rsid w:val="00007C79"/>
    <w:rsid w:val="00007D8C"/>
    <w:rsid w:val="00010482"/>
    <w:rsid w:val="00010C86"/>
    <w:rsid w:val="00011246"/>
    <w:rsid w:val="00011885"/>
    <w:rsid w:val="000118B3"/>
    <w:rsid w:val="00011CB3"/>
    <w:rsid w:val="00011DDE"/>
    <w:rsid w:val="00011FBF"/>
    <w:rsid w:val="000125CD"/>
    <w:rsid w:val="000129E0"/>
    <w:rsid w:val="00012BF2"/>
    <w:rsid w:val="00012CEA"/>
    <w:rsid w:val="00012F49"/>
    <w:rsid w:val="0001406E"/>
    <w:rsid w:val="00014A84"/>
    <w:rsid w:val="00014E3B"/>
    <w:rsid w:val="00014F3E"/>
    <w:rsid w:val="00015063"/>
    <w:rsid w:val="00015104"/>
    <w:rsid w:val="000156C0"/>
    <w:rsid w:val="00015AE7"/>
    <w:rsid w:val="0001662A"/>
    <w:rsid w:val="00017341"/>
    <w:rsid w:val="00017515"/>
    <w:rsid w:val="00017C4F"/>
    <w:rsid w:val="00017ED3"/>
    <w:rsid w:val="0002012D"/>
    <w:rsid w:val="00020598"/>
    <w:rsid w:val="0002091C"/>
    <w:rsid w:val="00020BCB"/>
    <w:rsid w:val="00020CF6"/>
    <w:rsid w:val="00021143"/>
    <w:rsid w:val="0002221A"/>
    <w:rsid w:val="000224BB"/>
    <w:rsid w:val="000224F3"/>
    <w:rsid w:val="00022FE6"/>
    <w:rsid w:val="00023136"/>
    <w:rsid w:val="000234EC"/>
    <w:rsid w:val="000237A5"/>
    <w:rsid w:val="00023A5B"/>
    <w:rsid w:val="00023AAD"/>
    <w:rsid w:val="00023F8C"/>
    <w:rsid w:val="00023FC5"/>
    <w:rsid w:val="00024121"/>
    <w:rsid w:val="00024827"/>
    <w:rsid w:val="00025197"/>
    <w:rsid w:val="000253FF"/>
    <w:rsid w:val="000254F3"/>
    <w:rsid w:val="00025CC7"/>
    <w:rsid w:val="00025E14"/>
    <w:rsid w:val="00025E9B"/>
    <w:rsid w:val="00026064"/>
    <w:rsid w:val="0002622F"/>
    <w:rsid w:val="0002659B"/>
    <w:rsid w:val="00026797"/>
    <w:rsid w:val="00026E76"/>
    <w:rsid w:val="00027432"/>
    <w:rsid w:val="0002763B"/>
    <w:rsid w:val="00030FB8"/>
    <w:rsid w:val="00031163"/>
    <w:rsid w:val="0003153E"/>
    <w:rsid w:val="00031552"/>
    <w:rsid w:val="00031FCF"/>
    <w:rsid w:val="000328BD"/>
    <w:rsid w:val="00032D44"/>
    <w:rsid w:val="00032D9B"/>
    <w:rsid w:val="00033460"/>
    <w:rsid w:val="000336D5"/>
    <w:rsid w:val="00033D79"/>
    <w:rsid w:val="00034E85"/>
    <w:rsid w:val="0003534F"/>
    <w:rsid w:val="00035AA4"/>
    <w:rsid w:val="00036353"/>
    <w:rsid w:val="00037549"/>
    <w:rsid w:val="00037BAA"/>
    <w:rsid w:val="00037C82"/>
    <w:rsid w:val="0004077A"/>
    <w:rsid w:val="000409DC"/>
    <w:rsid w:val="00040DD0"/>
    <w:rsid w:val="00040E85"/>
    <w:rsid w:val="000411AB"/>
    <w:rsid w:val="000411E0"/>
    <w:rsid w:val="00041228"/>
    <w:rsid w:val="000412D7"/>
    <w:rsid w:val="000415E0"/>
    <w:rsid w:val="000421B4"/>
    <w:rsid w:val="000421E0"/>
    <w:rsid w:val="00042DA2"/>
    <w:rsid w:val="00042E76"/>
    <w:rsid w:val="00043444"/>
    <w:rsid w:val="00043AEA"/>
    <w:rsid w:val="00043E01"/>
    <w:rsid w:val="00043E41"/>
    <w:rsid w:val="00044304"/>
    <w:rsid w:val="000446BA"/>
    <w:rsid w:val="00044930"/>
    <w:rsid w:val="0004521D"/>
    <w:rsid w:val="000454E1"/>
    <w:rsid w:val="000455AF"/>
    <w:rsid w:val="000456CF"/>
    <w:rsid w:val="00046802"/>
    <w:rsid w:val="00046E80"/>
    <w:rsid w:val="00046F6F"/>
    <w:rsid w:val="00046FFF"/>
    <w:rsid w:val="000476F0"/>
    <w:rsid w:val="00047DA5"/>
    <w:rsid w:val="00050B10"/>
    <w:rsid w:val="0005100C"/>
    <w:rsid w:val="00051298"/>
    <w:rsid w:val="000519D3"/>
    <w:rsid w:val="00051BEF"/>
    <w:rsid w:val="00052127"/>
    <w:rsid w:val="00052419"/>
    <w:rsid w:val="000526B2"/>
    <w:rsid w:val="00052840"/>
    <w:rsid w:val="00052AD2"/>
    <w:rsid w:val="00052F5A"/>
    <w:rsid w:val="000533B5"/>
    <w:rsid w:val="000536F5"/>
    <w:rsid w:val="00053961"/>
    <w:rsid w:val="00053A59"/>
    <w:rsid w:val="0005406A"/>
    <w:rsid w:val="000542BE"/>
    <w:rsid w:val="000548E8"/>
    <w:rsid w:val="00055B22"/>
    <w:rsid w:val="00055ED3"/>
    <w:rsid w:val="0005621B"/>
    <w:rsid w:val="000568CC"/>
    <w:rsid w:val="000569CE"/>
    <w:rsid w:val="00056F8A"/>
    <w:rsid w:val="00057EB0"/>
    <w:rsid w:val="0006001C"/>
    <w:rsid w:val="00060175"/>
    <w:rsid w:val="00060323"/>
    <w:rsid w:val="00060767"/>
    <w:rsid w:val="00061B0E"/>
    <w:rsid w:val="00061B6F"/>
    <w:rsid w:val="00062344"/>
    <w:rsid w:val="00062398"/>
    <w:rsid w:val="000627E7"/>
    <w:rsid w:val="0006317A"/>
    <w:rsid w:val="000634FA"/>
    <w:rsid w:val="00063B16"/>
    <w:rsid w:val="000640AB"/>
    <w:rsid w:val="00064484"/>
    <w:rsid w:val="000647A1"/>
    <w:rsid w:val="00064844"/>
    <w:rsid w:val="00064D19"/>
    <w:rsid w:val="0006538B"/>
    <w:rsid w:val="00065517"/>
    <w:rsid w:val="00065ACE"/>
    <w:rsid w:val="00065C7A"/>
    <w:rsid w:val="00065FC9"/>
    <w:rsid w:val="000661EC"/>
    <w:rsid w:val="00066454"/>
    <w:rsid w:val="0006664F"/>
    <w:rsid w:val="00066B4D"/>
    <w:rsid w:val="00066DCB"/>
    <w:rsid w:val="00067795"/>
    <w:rsid w:val="00067843"/>
    <w:rsid w:val="00067D38"/>
    <w:rsid w:val="0007003F"/>
    <w:rsid w:val="0007051E"/>
    <w:rsid w:val="0007056F"/>
    <w:rsid w:val="00070751"/>
    <w:rsid w:val="00071A9B"/>
    <w:rsid w:val="00071BD6"/>
    <w:rsid w:val="00071EE3"/>
    <w:rsid w:val="00072241"/>
    <w:rsid w:val="000723C3"/>
    <w:rsid w:val="00072498"/>
    <w:rsid w:val="0007277B"/>
    <w:rsid w:val="000727D1"/>
    <w:rsid w:val="00072FE4"/>
    <w:rsid w:val="000733F5"/>
    <w:rsid w:val="0007344B"/>
    <w:rsid w:val="000751EC"/>
    <w:rsid w:val="00075630"/>
    <w:rsid w:val="00075FA0"/>
    <w:rsid w:val="0007615E"/>
    <w:rsid w:val="000766F1"/>
    <w:rsid w:val="000769B8"/>
    <w:rsid w:val="00076CDA"/>
    <w:rsid w:val="00077087"/>
    <w:rsid w:val="0007744B"/>
    <w:rsid w:val="0007746D"/>
    <w:rsid w:val="000774BB"/>
    <w:rsid w:val="00077545"/>
    <w:rsid w:val="00077598"/>
    <w:rsid w:val="00077A1D"/>
    <w:rsid w:val="000802AF"/>
    <w:rsid w:val="0008038F"/>
    <w:rsid w:val="00080612"/>
    <w:rsid w:val="00080D72"/>
    <w:rsid w:val="0008120A"/>
    <w:rsid w:val="0008181C"/>
    <w:rsid w:val="000818C3"/>
    <w:rsid w:val="00081D49"/>
    <w:rsid w:val="00081EFB"/>
    <w:rsid w:val="00082F4C"/>
    <w:rsid w:val="00083BD4"/>
    <w:rsid w:val="00083CD6"/>
    <w:rsid w:val="00084A1A"/>
    <w:rsid w:val="00084DBC"/>
    <w:rsid w:val="00084E53"/>
    <w:rsid w:val="0008503E"/>
    <w:rsid w:val="00085639"/>
    <w:rsid w:val="00085C66"/>
    <w:rsid w:val="0008624F"/>
    <w:rsid w:val="000865FF"/>
    <w:rsid w:val="000867DF"/>
    <w:rsid w:val="000869E0"/>
    <w:rsid w:val="00086A93"/>
    <w:rsid w:val="00087EBD"/>
    <w:rsid w:val="00090139"/>
    <w:rsid w:val="00090777"/>
    <w:rsid w:val="00090BBE"/>
    <w:rsid w:val="00090C4A"/>
    <w:rsid w:val="00090E01"/>
    <w:rsid w:val="000910D9"/>
    <w:rsid w:val="00091174"/>
    <w:rsid w:val="00091692"/>
    <w:rsid w:val="00091F4B"/>
    <w:rsid w:val="00092662"/>
    <w:rsid w:val="00092832"/>
    <w:rsid w:val="00092982"/>
    <w:rsid w:val="0009298A"/>
    <w:rsid w:val="000933CF"/>
    <w:rsid w:val="000935F8"/>
    <w:rsid w:val="00093AF2"/>
    <w:rsid w:val="00093EA6"/>
    <w:rsid w:val="00093FB3"/>
    <w:rsid w:val="00094479"/>
    <w:rsid w:val="00094A03"/>
    <w:rsid w:val="00094BBF"/>
    <w:rsid w:val="00095376"/>
    <w:rsid w:val="000953ED"/>
    <w:rsid w:val="000958AE"/>
    <w:rsid w:val="00095A5A"/>
    <w:rsid w:val="00095E78"/>
    <w:rsid w:val="00095F5C"/>
    <w:rsid w:val="00096284"/>
    <w:rsid w:val="0009669D"/>
    <w:rsid w:val="000968CA"/>
    <w:rsid w:val="00097EF3"/>
    <w:rsid w:val="000A000F"/>
    <w:rsid w:val="000A00C2"/>
    <w:rsid w:val="000A021B"/>
    <w:rsid w:val="000A04DB"/>
    <w:rsid w:val="000A1051"/>
    <w:rsid w:val="000A1936"/>
    <w:rsid w:val="000A2092"/>
    <w:rsid w:val="000A21AB"/>
    <w:rsid w:val="000A21E3"/>
    <w:rsid w:val="000A2A57"/>
    <w:rsid w:val="000A2C21"/>
    <w:rsid w:val="000A3042"/>
    <w:rsid w:val="000A317A"/>
    <w:rsid w:val="000A33FE"/>
    <w:rsid w:val="000A3B15"/>
    <w:rsid w:val="000A3EF6"/>
    <w:rsid w:val="000A4072"/>
    <w:rsid w:val="000A41D5"/>
    <w:rsid w:val="000A4AD3"/>
    <w:rsid w:val="000A5196"/>
    <w:rsid w:val="000A5A33"/>
    <w:rsid w:val="000A5A51"/>
    <w:rsid w:val="000A5A90"/>
    <w:rsid w:val="000A5AF9"/>
    <w:rsid w:val="000A5EE1"/>
    <w:rsid w:val="000A61AA"/>
    <w:rsid w:val="000A64DB"/>
    <w:rsid w:val="000A6EBA"/>
    <w:rsid w:val="000A7105"/>
    <w:rsid w:val="000B0670"/>
    <w:rsid w:val="000B0A2B"/>
    <w:rsid w:val="000B0D7A"/>
    <w:rsid w:val="000B1068"/>
    <w:rsid w:val="000B107D"/>
    <w:rsid w:val="000B10F8"/>
    <w:rsid w:val="000B1E8F"/>
    <w:rsid w:val="000B228A"/>
    <w:rsid w:val="000B26EB"/>
    <w:rsid w:val="000B2EAA"/>
    <w:rsid w:val="000B3AAD"/>
    <w:rsid w:val="000B42EC"/>
    <w:rsid w:val="000B4ABD"/>
    <w:rsid w:val="000B4E99"/>
    <w:rsid w:val="000B4F16"/>
    <w:rsid w:val="000B4F39"/>
    <w:rsid w:val="000B5544"/>
    <w:rsid w:val="000B5568"/>
    <w:rsid w:val="000B57FB"/>
    <w:rsid w:val="000B5A3B"/>
    <w:rsid w:val="000B5EC9"/>
    <w:rsid w:val="000B6496"/>
    <w:rsid w:val="000B64E7"/>
    <w:rsid w:val="000B65A0"/>
    <w:rsid w:val="000B66FD"/>
    <w:rsid w:val="000B778F"/>
    <w:rsid w:val="000C063B"/>
    <w:rsid w:val="000C07E9"/>
    <w:rsid w:val="000C082F"/>
    <w:rsid w:val="000C0859"/>
    <w:rsid w:val="000C0922"/>
    <w:rsid w:val="000C0A36"/>
    <w:rsid w:val="000C1191"/>
    <w:rsid w:val="000C1449"/>
    <w:rsid w:val="000C1698"/>
    <w:rsid w:val="000C1844"/>
    <w:rsid w:val="000C1B42"/>
    <w:rsid w:val="000C22DA"/>
    <w:rsid w:val="000C2327"/>
    <w:rsid w:val="000C25DD"/>
    <w:rsid w:val="000C265E"/>
    <w:rsid w:val="000C2B1B"/>
    <w:rsid w:val="000C3092"/>
    <w:rsid w:val="000C3A2A"/>
    <w:rsid w:val="000C4B8C"/>
    <w:rsid w:val="000C5084"/>
    <w:rsid w:val="000C522C"/>
    <w:rsid w:val="000C52D2"/>
    <w:rsid w:val="000C5333"/>
    <w:rsid w:val="000C55D2"/>
    <w:rsid w:val="000C58C6"/>
    <w:rsid w:val="000C5C02"/>
    <w:rsid w:val="000C6035"/>
    <w:rsid w:val="000C6061"/>
    <w:rsid w:val="000C70BC"/>
    <w:rsid w:val="000C71E5"/>
    <w:rsid w:val="000C7B3E"/>
    <w:rsid w:val="000D028E"/>
    <w:rsid w:val="000D03F9"/>
    <w:rsid w:val="000D0661"/>
    <w:rsid w:val="000D080E"/>
    <w:rsid w:val="000D1486"/>
    <w:rsid w:val="000D16E2"/>
    <w:rsid w:val="000D1D3D"/>
    <w:rsid w:val="000D212D"/>
    <w:rsid w:val="000D24B5"/>
    <w:rsid w:val="000D2739"/>
    <w:rsid w:val="000D291B"/>
    <w:rsid w:val="000D2D85"/>
    <w:rsid w:val="000D2FD1"/>
    <w:rsid w:val="000D301B"/>
    <w:rsid w:val="000D404A"/>
    <w:rsid w:val="000D43E9"/>
    <w:rsid w:val="000D502A"/>
    <w:rsid w:val="000D5B28"/>
    <w:rsid w:val="000D5DE8"/>
    <w:rsid w:val="000D5E46"/>
    <w:rsid w:val="000D6552"/>
    <w:rsid w:val="000D69B4"/>
    <w:rsid w:val="000D6B1A"/>
    <w:rsid w:val="000D7160"/>
    <w:rsid w:val="000D76C4"/>
    <w:rsid w:val="000D77AE"/>
    <w:rsid w:val="000D7C73"/>
    <w:rsid w:val="000D7D9D"/>
    <w:rsid w:val="000D7E0A"/>
    <w:rsid w:val="000E069C"/>
    <w:rsid w:val="000E0821"/>
    <w:rsid w:val="000E089D"/>
    <w:rsid w:val="000E0F04"/>
    <w:rsid w:val="000E0F4A"/>
    <w:rsid w:val="000E1A16"/>
    <w:rsid w:val="000E1B36"/>
    <w:rsid w:val="000E207A"/>
    <w:rsid w:val="000E21CF"/>
    <w:rsid w:val="000E21ED"/>
    <w:rsid w:val="000E2704"/>
    <w:rsid w:val="000E2839"/>
    <w:rsid w:val="000E2B4D"/>
    <w:rsid w:val="000E2C1A"/>
    <w:rsid w:val="000E2F65"/>
    <w:rsid w:val="000E3413"/>
    <w:rsid w:val="000E3428"/>
    <w:rsid w:val="000E3A59"/>
    <w:rsid w:val="000E3C9D"/>
    <w:rsid w:val="000E47F0"/>
    <w:rsid w:val="000E4A9A"/>
    <w:rsid w:val="000E4AE6"/>
    <w:rsid w:val="000E5160"/>
    <w:rsid w:val="000E5974"/>
    <w:rsid w:val="000E5B3B"/>
    <w:rsid w:val="000E5C45"/>
    <w:rsid w:val="000E638E"/>
    <w:rsid w:val="000E689A"/>
    <w:rsid w:val="000E71CB"/>
    <w:rsid w:val="000E7624"/>
    <w:rsid w:val="000E779B"/>
    <w:rsid w:val="000F03A3"/>
    <w:rsid w:val="000F0A65"/>
    <w:rsid w:val="000F0AA2"/>
    <w:rsid w:val="000F0CA6"/>
    <w:rsid w:val="000F0D1E"/>
    <w:rsid w:val="000F105A"/>
    <w:rsid w:val="000F162D"/>
    <w:rsid w:val="000F17BB"/>
    <w:rsid w:val="000F18AB"/>
    <w:rsid w:val="000F1FB9"/>
    <w:rsid w:val="000F2A62"/>
    <w:rsid w:val="000F31F3"/>
    <w:rsid w:val="000F33E7"/>
    <w:rsid w:val="000F37DC"/>
    <w:rsid w:val="000F39A2"/>
    <w:rsid w:val="000F3CDC"/>
    <w:rsid w:val="000F3DAB"/>
    <w:rsid w:val="000F3E80"/>
    <w:rsid w:val="000F4195"/>
    <w:rsid w:val="000F493C"/>
    <w:rsid w:val="000F4A33"/>
    <w:rsid w:val="000F4C93"/>
    <w:rsid w:val="000F4FFC"/>
    <w:rsid w:val="000F5138"/>
    <w:rsid w:val="000F5963"/>
    <w:rsid w:val="000F5989"/>
    <w:rsid w:val="000F5A62"/>
    <w:rsid w:val="000F5D6F"/>
    <w:rsid w:val="000F6190"/>
    <w:rsid w:val="000F64FD"/>
    <w:rsid w:val="000F656A"/>
    <w:rsid w:val="000F6A82"/>
    <w:rsid w:val="000F6E02"/>
    <w:rsid w:val="000F7723"/>
    <w:rsid w:val="000F775E"/>
    <w:rsid w:val="000F79B9"/>
    <w:rsid w:val="000F7E2D"/>
    <w:rsid w:val="000F7EE4"/>
    <w:rsid w:val="00100276"/>
    <w:rsid w:val="001003EE"/>
    <w:rsid w:val="0010164A"/>
    <w:rsid w:val="00101F37"/>
    <w:rsid w:val="00102236"/>
    <w:rsid w:val="001034C0"/>
    <w:rsid w:val="00103532"/>
    <w:rsid w:val="00103842"/>
    <w:rsid w:val="00103B09"/>
    <w:rsid w:val="00104565"/>
    <w:rsid w:val="00104EC0"/>
    <w:rsid w:val="001053E6"/>
    <w:rsid w:val="00105516"/>
    <w:rsid w:val="00105876"/>
    <w:rsid w:val="00105AD7"/>
    <w:rsid w:val="00105CC2"/>
    <w:rsid w:val="00106352"/>
    <w:rsid w:val="0010685E"/>
    <w:rsid w:val="00106A64"/>
    <w:rsid w:val="00106B9C"/>
    <w:rsid w:val="00106E90"/>
    <w:rsid w:val="00106EEC"/>
    <w:rsid w:val="0010744B"/>
    <w:rsid w:val="0010791F"/>
    <w:rsid w:val="00110189"/>
    <w:rsid w:val="001104A8"/>
    <w:rsid w:val="00110638"/>
    <w:rsid w:val="00110EE9"/>
    <w:rsid w:val="001117EE"/>
    <w:rsid w:val="00112064"/>
    <w:rsid w:val="001126CF"/>
    <w:rsid w:val="00113B8E"/>
    <w:rsid w:val="00113FB5"/>
    <w:rsid w:val="001144B2"/>
    <w:rsid w:val="00115037"/>
    <w:rsid w:val="001150D3"/>
    <w:rsid w:val="00115556"/>
    <w:rsid w:val="00115950"/>
    <w:rsid w:val="00115CE5"/>
    <w:rsid w:val="0011624F"/>
    <w:rsid w:val="001164BF"/>
    <w:rsid w:val="001165CB"/>
    <w:rsid w:val="00116929"/>
    <w:rsid w:val="00116ECA"/>
    <w:rsid w:val="001171DA"/>
    <w:rsid w:val="0011726D"/>
    <w:rsid w:val="00117627"/>
    <w:rsid w:val="00117699"/>
    <w:rsid w:val="001178F1"/>
    <w:rsid w:val="00117D66"/>
    <w:rsid w:val="0012032C"/>
    <w:rsid w:val="0012075F"/>
    <w:rsid w:val="00120A8E"/>
    <w:rsid w:val="00120B36"/>
    <w:rsid w:val="00120C26"/>
    <w:rsid w:val="001212B0"/>
    <w:rsid w:val="001218B1"/>
    <w:rsid w:val="0012222A"/>
    <w:rsid w:val="00122969"/>
    <w:rsid w:val="00122F39"/>
    <w:rsid w:val="0012308E"/>
    <w:rsid w:val="001232A7"/>
    <w:rsid w:val="00123AB8"/>
    <w:rsid w:val="00123BDA"/>
    <w:rsid w:val="00123E76"/>
    <w:rsid w:val="00124229"/>
    <w:rsid w:val="001242AD"/>
    <w:rsid w:val="001242F1"/>
    <w:rsid w:val="001243CA"/>
    <w:rsid w:val="00124869"/>
    <w:rsid w:val="00124EE3"/>
    <w:rsid w:val="00124F66"/>
    <w:rsid w:val="001253BA"/>
    <w:rsid w:val="0012553E"/>
    <w:rsid w:val="00126F0B"/>
    <w:rsid w:val="001272BE"/>
    <w:rsid w:val="00127559"/>
    <w:rsid w:val="001308C4"/>
    <w:rsid w:val="001311BF"/>
    <w:rsid w:val="001314FD"/>
    <w:rsid w:val="00131A09"/>
    <w:rsid w:val="00131BD3"/>
    <w:rsid w:val="00131CC2"/>
    <w:rsid w:val="00131D66"/>
    <w:rsid w:val="00132021"/>
    <w:rsid w:val="00132549"/>
    <w:rsid w:val="00132B67"/>
    <w:rsid w:val="001334B2"/>
    <w:rsid w:val="00134EA2"/>
    <w:rsid w:val="00135186"/>
    <w:rsid w:val="001351C6"/>
    <w:rsid w:val="00135B03"/>
    <w:rsid w:val="0013672B"/>
    <w:rsid w:val="00136AA0"/>
    <w:rsid w:val="001373C4"/>
    <w:rsid w:val="001377A7"/>
    <w:rsid w:val="001378DF"/>
    <w:rsid w:val="00137C22"/>
    <w:rsid w:val="00137F5F"/>
    <w:rsid w:val="0014020A"/>
    <w:rsid w:val="00140212"/>
    <w:rsid w:val="001408CA"/>
    <w:rsid w:val="00140DAE"/>
    <w:rsid w:val="001414AD"/>
    <w:rsid w:val="00141F81"/>
    <w:rsid w:val="00141FD1"/>
    <w:rsid w:val="00141FED"/>
    <w:rsid w:val="0014218D"/>
    <w:rsid w:val="00142761"/>
    <w:rsid w:val="00142A61"/>
    <w:rsid w:val="00142B79"/>
    <w:rsid w:val="001434E3"/>
    <w:rsid w:val="001434EE"/>
    <w:rsid w:val="001440DC"/>
    <w:rsid w:val="001442B9"/>
    <w:rsid w:val="00144827"/>
    <w:rsid w:val="001448B4"/>
    <w:rsid w:val="001454FC"/>
    <w:rsid w:val="00146168"/>
    <w:rsid w:val="00146579"/>
    <w:rsid w:val="00146837"/>
    <w:rsid w:val="00146C9B"/>
    <w:rsid w:val="0014703F"/>
    <w:rsid w:val="001475C8"/>
    <w:rsid w:val="0014780E"/>
    <w:rsid w:val="00147F25"/>
    <w:rsid w:val="00147FA6"/>
    <w:rsid w:val="00150480"/>
    <w:rsid w:val="00150724"/>
    <w:rsid w:val="001512E7"/>
    <w:rsid w:val="001515E0"/>
    <w:rsid w:val="00151A68"/>
    <w:rsid w:val="00151C85"/>
    <w:rsid w:val="00151DB9"/>
    <w:rsid w:val="0015205C"/>
    <w:rsid w:val="00152250"/>
    <w:rsid w:val="001528B7"/>
    <w:rsid w:val="00152E80"/>
    <w:rsid w:val="00152F4C"/>
    <w:rsid w:val="0015335D"/>
    <w:rsid w:val="00153605"/>
    <w:rsid w:val="00153D3C"/>
    <w:rsid w:val="00153D98"/>
    <w:rsid w:val="00153F1C"/>
    <w:rsid w:val="0015406E"/>
    <w:rsid w:val="0015472B"/>
    <w:rsid w:val="00154777"/>
    <w:rsid w:val="00154D79"/>
    <w:rsid w:val="00154E2F"/>
    <w:rsid w:val="0015556D"/>
    <w:rsid w:val="0015559F"/>
    <w:rsid w:val="0015584C"/>
    <w:rsid w:val="0015584D"/>
    <w:rsid w:val="00155940"/>
    <w:rsid w:val="00155A35"/>
    <w:rsid w:val="00155AF3"/>
    <w:rsid w:val="00155BA5"/>
    <w:rsid w:val="00155E33"/>
    <w:rsid w:val="00155E48"/>
    <w:rsid w:val="00155EA0"/>
    <w:rsid w:val="00156BED"/>
    <w:rsid w:val="00157106"/>
    <w:rsid w:val="001575E7"/>
    <w:rsid w:val="0016055C"/>
    <w:rsid w:val="00160580"/>
    <w:rsid w:val="00160C4D"/>
    <w:rsid w:val="00160DBB"/>
    <w:rsid w:val="00160E0B"/>
    <w:rsid w:val="001610D1"/>
    <w:rsid w:val="00161714"/>
    <w:rsid w:val="0016196E"/>
    <w:rsid w:val="00161CA3"/>
    <w:rsid w:val="00161F27"/>
    <w:rsid w:val="00161F9C"/>
    <w:rsid w:val="001624CD"/>
    <w:rsid w:val="00162643"/>
    <w:rsid w:val="00162F54"/>
    <w:rsid w:val="0016340E"/>
    <w:rsid w:val="00163471"/>
    <w:rsid w:val="00163644"/>
    <w:rsid w:val="00163A2B"/>
    <w:rsid w:val="0016488F"/>
    <w:rsid w:val="001648BF"/>
    <w:rsid w:val="00164DDC"/>
    <w:rsid w:val="00164E86"/>
    <w:rsid w:val="0016520F"/>
    <w:rsid w:val="0016558A"/>
    <w:rsid w:val="00165709"/>
    <w:rsid w:val="00165B26"/>
    <w:rsid w:val="0016607B"/>
    <w:rsid w:val="00167218"/>
    <w:rsid w:val="00167363"/>
    <w:rsid w:val="00167551"/>
    <w:rsid w:val="001677DC"/>
    <w:rsid w:val="001706BD"/>
    <w:rsid w:val="001706E4"/>
    <w:rsid w:val="001708BA"/>
    <w:rsid w:val="00171811"/>
    <w:rsid w:val="00171D43"/>
    <w:rsid w:val="00171F50"/>
    <w:rsid w:val="00172494"/>
    <w:rsid w:val="001729AD"/>
    <w:rsid w:val="00172A27"/>
    <w:rsid w:val="001730F3"/>
    <w:rsid w:val="00173202"/>
    <w:rsid w:val="00173921"/>
    <w:rsid w:val="00173AE2"/>
    <w:rsid w:val="00173DE8"/>
    <w:rsid w:val="00173F0B"/>
    <w:rsid w:val="00173F6C"/>
    <w:rsid w:val="00174279"/>
    <w:rsid w:val="001746A6"/>
    <w:rsid w:val="001751B5"/>
    <w:rsid w:val="001754D6"/>
    <w:rsid w:val="00176233"/>
    <w:rsid w:val="001765D3"/>
    <w:rsid w:val="001767CA"/>
    <w:rsid w:val="00176BEC"/>
    <w:rsid w:val="00177D86"/>
    <w:rsid w:val="00180E3A"/>
    <w:rsid w:val="00181128"/>
    <w:rsid w:val="001812FD"/>
    <w:rsid w:val="0018171D"/>
    <w:rsid w:val="001818AD"/>
    <w:rsid w:val="00181D41"/>
    <w:rsid w:val="00181DC0"/>
    <w:rsid w:val="00182624"/>
    <w:rsid w:val="00183152"/>
    <w:rsid w:val="0018335C"/>
    <w:rsid w:val="001834E2"/>
    <w:rsid w:val="00183870"/>
    <w:rsid w:val="00183A03"/>
    <w:rsid w:val="00183FD8"/>
    <w:rsid w:val="001840DE"/>
    <w:rsid w:val="001846B0"/>
    <w:rsid w:val="0018471B"/>
    <w:rsid w:val="00184B46"/>
    <w:rsid w:val="001850A6"/>
    <w:rsid w:val="00185214"/>
    <w:rsid w:val="00185244"/>
    <w:rsid w:val="001858AC"/>
    <w:rsid w:val="00185F4C"/>
    <w:rsid w:val="001861B8"/>
    <w:rsid w:val="001861F7"/>
    <w:rsid w:val="00186226"/>
    <w:rsid w:val="001863B6"/>
    <w:rsid w:val="0018662A"/>
    <w:rsid w:val="0018674D"/>
    <w:rsid w:val="00186825"/>
    <w:rsid w:val="00186C84"/>
    <w:rsid w:val="0018731A"/>
    <w:rsid w:val="00187428"/>
    <w:rsid w:val="0018757B"/>
    <w:rsid w:val="0018758A"/>
    <w:rsid w:val="001876A5"/>
    <w:rsid w:val="00187793"/>
    <w:rsid w:val="00190088"/>
    <w:rsid w:val="001902BD"/>
    <w:rsid w:val="00190C3C"/>
    <w:rsid w:val="00191324"/>
    <w:rsid w:val="00191327"/>
    <w:rsid w:val="0019141C"/>
    <w:rsid w:val="0019161F"/>
    <w:rsid w:val="0019198C"/>
    <w:rsid w:val="00191DE7"/>
    <w:rsid w:val="001923CE"/>
    <w:rsid w:val="0019271A"/>
    <w:rsid w:val="00192B03"/>
    <w:rsid w:val="0019315F"/>
    <w:rsid w:val="001936EC"/>
    <w:rsid w:val="00194312"/>
    <w:rsid w:val="00194ECC"/>
    <w:rsid w:val="0019500E"/>
    <w:rsid w:val="0019611F"/>
    <w:rsid w:val="001964E7"/>
    <w:rsid w:val="00196D56"/>
    <w:rsid w:val="00196EEF"/>
    <w:rsid w:val="00196FE9"/>
    <w:rsid w:val="0019780A"/>
    <w:rsid w:val="001A026F"/>
    <w:rsid w:val="001A070E"/>
    <w:rsid w:val="001A09F0"/>
    <w:rsid w:val="001A1245"/>
    <w:rsid w:val="001A128B"/>
    <w:rsid w:val="001A1651"/>
    <w:rsid w:val="001A1A93"/>
    <w:rsid w:val="001A1EF5"/>
    <w:rsid w:val="001A1F4E"/>
    <w:rsid w:val="001A20AD"/>
    <w:rsid w:val="001A25E7"/>
    <w:rsid w:val="001A2B31"/>
    <w:rsid w:val="001A31C1"/>
    <w:rsid w:val="001A3EC0"/>
    <w:rsid w:val="001A3FE8"/>
    <w:rsid w:val="001A4CA1"/>
    <w:rsid w:val="001A4F77"/>
    <w:rsid w:val="001A50EF"/>
    <w:rsid w:val="001A510A"/>
    <w:rsid w:val="001A521C"/>
    <w:rsid w:val="001A52B0"/>
    <w:rsid w:val="001A5BB3"/>
    <w:rsid w:val="001A6316"/>
    <w:rsid w:val="001A6703"/>
    <w:rsid w:val="001A6AE7"/>
    <w:rsid w:val="001A6B6E"/>
    <w:rsid w:val="001A6E05"/>
    <w:rsid w:val="001A7136"/>
    <w:rsid w:val="001A7400"/>
    <w:rsid w:val="001A78B5"/>
    <w:rsid w:val="001A7AD6"/>
    <w:rsid w:val="001B0101"/>
    <w:rsid w:val="001B027A"/>
    <w:rsid w:val="001B02FE"/>
    <w:rsid w:val="001B057B"/>
    <w:rsid w:val="001B08C9"/>
    <w:rsid w:val="001B0907"/>
    <w:rsid w:val="001B0C33"/>
    <w:rsid w:val="001B0C82"/>
    <w:rsid w:val="001B0C89"/>
    <w:rsid w:val="001B1209"/>
    <w:rsid w:val="001B1EC2"/>
    <w:rsid w:val="001B2595"/>
    <w:rsid w:val="001B262A"/>
    <w:rsid w:val="001B26E7"/>
    <w:rsid w:val="001B292F"/>
    <w:rsid w:val="001B3753"/>
    <w:rsid w:val="001B3C6D"/>
    <w:rsid w:val="001B465C"/>
    <w:rsid w:val="001B4782"/>
    <w:rsid w:val="001B4841"/>
    <w:rsid w:val="001B4DEE"/>
    <w:rsid w:val="001B50E4"/>
    <w:rsid w:val="001B5856"/>
    <w:rsid w:val="001B5ED2"/>
    <w:rsid w:val="001B606B"/>
    <w:rsid w:val="001B659C"/>
    <w:rsid w:val="001B677D"/>
    <w:rsid w:val="001B6979"/>
    <w:rsid w:val="001B6D30"/>
    <w:rsid w:val="001B73FF"/>
    <w:rsid w:val="001B79AE"/>
    <w:rsid w:val="001B7F47"/>
    <w:rsid w:val="001C00F4"/>
    <w:rsid w:val="001C12C5"/>
    <w:rsid w:val="001C13F0"/>
    <w:rsid w:val="001C180B"/>
    <w:rsid w:val="001C18C3"/>
    <w:rsid w:val="001C218D"/>
    <w:rsid w:val="001C2382"/>
    <w:rsid w:val="001C2406"/>
    <w:rsid w:val="001C27D9"/>
    <w:rsid w:val="001C2BA1"/>
    <w:rsid w:val="001C3591"/>
    <w:rsid w:val="001C3DDD"/>
    <w:rsid w:val="001C3ED6"/>
    <w:rsid w:val="001C412B"/>
    <w:rsid w:val="001C4764"/>
    <w:rsid w:val="001C48AF"/>
    <w:rsid w:val="001C4B78"/>
    <w:rsid w:val="001C4EFD"/>
    <w:rsid w:val="001C50DE"/>
    <w:rsid w:val="001C60C8"/>
    <w:rsid w:val="001C6468"/>
    <w:rsid w:val="001C64A1"/>
    <w:rsid w:val="001C6A41"/>
    <w:rsid w:val="001C6D95"/>
    <w:rsid w:val="001C752B"/>
    <w:rsid w:val="001C76F3"/>
    <w:rsid w:val="001D0A79"/>
    <w:rsid w:val="001D0BDE"/>
    <w:rsid w:val="001D13DE"/>
    <w:rsid w:val="001D1458"/>
    <w:rsid w:val="001D1A13"/>
    <w:rsid w:val="001D1D72"/>
    <w:rsid w:val="001D21F3"/>
    <w:rsid w:val="001D241C"/>
    <w:rsid w:val="001D2D91"/>
    <w:rsid w:val="001D30B0"/>
    <w:rsid w:val="001D3375"/>
    <w:rsid w:val="001D352E"/>
    <w:rsid w:val="001D36B4"/>
    <w:rsid w:val="001D45CB"/>
    <w:rsid w:val="001D4671"/>
    <w:rsid w:val="001D514B"/>
    <w:rsid w:val="001D6059"/>
    <w:rsid w:val="001D6515"/>
    <w:rsid w:val="001D6A12"/>
    <w:rsid w:val="001D6BED"/>
    <w:rsid w:val="001D72B9"/>
    <w:rsid w:val="001E046B"/>
    <w:rsid w:val="001E083A"/>
    <w:rsid w:val="001E09DC"/>
    <w:rsid w:val="001E1683"/>
    <w:rsid w:val="001E1D31"/>
    <w:rsid w:val="001E1FAD"/>
    <w:rsid w:val="001E218B"/>
    <w:rsid w:val="001E21FE"/>
    <w:rsid w:val="001E22E3"/>
    <w:rsid w:val="001E2927"/>
    <w:rsid w:val="001E3161"/>
    <w:rsid w:val="001E32D3"/>
    <w:rsid w:val="001E32FF"/>
    <w:rsid w:val="001E3A64"/>
    <w:rsid w:val="001E445D"/>
    <w:rsid w:val="001E5030"/>
    <w:rsid w:val="001E54A9"/>
    <w:rsid w:val="001E577A"/>
    <w:rsid w:val="001E5A9E"/>
    <w:rsid w:val="001E6815"/>
    <w:rsid w:val="001E6A32"/>
    <w:rsid w:val="001E6D12"/>
    <w:rsid w:val="001E6F48"/>
    <w:rsid w:val="001E71A1"/>
    <w:rsid w:val="001E73F0"/>
    <w:rsid w:val="001E7602"/>
    <w:rsid w:val="001E7B41"/>
    <w:rsid w:val="001E7DB7"/>
    <w:rsid w:val="001F0770"/>
    <w:rsid w:val="001F0913"/>
    <w:rsid w:val="001F0960"/>
    <w:rsid w:val="001F0B72"/>
    <w:rsid w:val="001F0DC1"/>
    <w:rsid w:val="001F0F2E"/>
    <w:rsid w:val="001F0F9B"/>
    <w:rsid w:val="001F1986"/>
    <w:rsid w:val="001F2479"/>
    <w:rsid w:val="001F2652"/>
    <w:rsid w:val="001F2997"/>
    <w:rsid w:val="001F29FD"/>
    <w:rsid w:val="001F312F"/>
    <w:rsid w:val="001F321D"/>
    <w:rsid w:val="001F3483"/>
    <w:rsid w:val="001F35D8"/>
    <w:rsid w:val="001F3930"/>
    <w:rsid w:val="001F3E45"/>
    <w:rsid w:val="001F3F87"/>
    <w:rsid w:val="001F41FF"/>
    <w:rsid w:val="001F429D"/>
    <w:rsid w:val="001F42DE"/>
    <w:rsid w:val="001F44C7"/>
    <w:rsid w:val="001F467E"/>
    <w:rsid w:val="001F4780"/>
    <w:rsid w:val="001F4B5B"/>
    <w:rsid w:val="001F538B"/>
    <w:rsid w:val="001F59CA"/>
    <w:rsid w:val="001F5BB2"/>
    <w:rsid w:val="001F62E0"/>
    <w:rsid w:val="001F6663"/>
    <w:rsid w:val="001F6DAA"/>
    <w:rsid w:val="001F78A7"/>
    <w:rsid w:val="002001E6"/>
    <w:rsid w:val="00200371"/>
    <w:rsid w:val="00200756"/>
    <w:rsid w:val="0020121F"/>
    <w:rsid w:val="002019D0"/>
    <w:rsid w:val="00201DA1"/>
    <w:rsid w:val="002020BB"/>
    <w:rsid w:val="002025F4"/>
    <w:rsid w:val="002027D3"/>
    <w:rsid w:val="00202869"/>
    <w:rsid w:val="00202BAD"/>
    <w:rsid w:val="00202BE2"/>
    <w:rsid w:val="00202F37"/>
    <w:rsid w:val="00203AC7"/>
    <w:rsid w:val="00203BB0"/>
    <w:rsid w:val="00204029"/>
    <w:rsid w:val="00204317"/>
    <w:rsid w:val="002045DA"/>
    <w:rsid w:val="00204913"/>
    <w:rsid w:val="00204D34"/>
    <w:rsid w:val="00204D56"/>
    <w:rsid w:val="00205664"/>
    <w:rsid w:val="002056E6"/>
    <w:rsid w:val="002061CC"/>
    <w:rsid w:val="00206789"/>
    <w:rsid w:val="002068B6"/>
    <w:rsid w:val="00206BC6"/>
    <w:rsid w:val="00206EE1"/>
    <w:rsid w:val="00206F4B"/>
    <w:rsid w:val="002078CB"/>
    <w:rsid w:val="002079F0"/>
    <w:rsid w:val="00211130"/>
    <w:rsid w:val="00211B36"/>
    <w:rsid w:val="002128A7"/>
    <w:rsid w:val="00212950"/>
    <w:rsid w:val="0021384B"/>
    <w:rsid w:val="00213FB2"/>
    <w:rsid w:val="002142D1"/>
    <w:rsid w:val="00214B08"/>
    <w:rsid w:val="002150ED"/>
    <w:rsid w:val="00215392"/>
    <w:rsid w:val="002155FB"/>
    <w:rsid w:val="00215B38"/>
    <w:rsid w:val="00215EB9"/>
    <w:rsid w:val="0021612B"/>
    <w:rsid w:val="002166B8"/>
    <w:rsid w:val="00217904"/>
    <w:rsid w:val="00217A16"/>
    <w:rsid w:val="00217A85"/>
    <w:rsid w:val="00220021"/>
    <w:rsid w:val="0022027C"/>
    <w:rsid w:val="002202AA"/>
    <w:rsid w:val="00220A4C"/>
    <w:rsid w:val="00220E42"/>
    <w:rsid w:val="00221738"/>
    <w:rsid w:val="00221780"/>
    <w:rsid w:val="002217A9"/>
    <w:rsid w:val="00222467"/>
    <w:rsid w:val="0022252D"/>
    <w:rsid w:val="00222537"/>
    <w:rsid w:val="00222A4E"/>
    <w:rsid w:val="00222D72"/>
    <w:rsid w:val="0022304A"/>
    <w:rsid w:val="00223636"/>
    <w:rsid w:val="002237CF"/>
    <w:rsid w:val="00223B35"/>
    <w:rsid w:val="00223BC8"/>
    <w:rsid w:val="00224265"/>
    <w:rsid w:val="00224298"/>
    <w:rsid w:val="00224451"/>
    <w:rsid w:val="002246B6"/>
    <w:rsid w:val="0022481D"/>
    <w:rsid w:val="00224B2B"/>
    <w:rsid w:val="00224C81"/>
    <w:rsid w:val="00224CC0"/>
    <w:rsid w:val="0022504F"/>
    <w:rsid w:val="00225793"/>
    <w:rsid w:val="00225AA2"/>
    <w:rsid w:val="00225B1F"/>
    <w:rsid w:val="00225CFB"/>
    <w:rsid w:val="00226058"/>
    <w:rsid w:val="00226247"/>
    <w:rsid w:val="002268CF"/>
    <w:rsid w:val="00226C25"/>
    <w:rsid w:val="00226C9F"/>
    <w:rsid w:val="0022704E"/>
    <w:rsid w:val="002277A7"/>
    <w:rsid w:val="002278DC"/>
    <w:rsid w:val="00227AA1"/>
    <w:rsid w:val="00227E02"/>
    <w:rsid w:val="00227E72"/>
    <w:rsid w:val="002301D3"/>
    <w:rsid w:val="0023027A"/>
    <w:rsid w:val="0023049E"/>
    <w:rsid w:val="00230B74"/>
    <w:rsid w:val="00231348"/>
    <w:rsid w:val="002315DF"/>
    <w:rsid w:val="002316BA"/>
    <w:rsid w:val="0023197F"/>
    <w:rsid w:val="00231E78"/>
    <w:rsid w:val="00231F20"/>
    <w:rsid w:val="00231F96"/>
    <w:rsid w:val="00231F99"/>
    <w:rsid w:val="00232063"/>
    <w:rsid w:val="00232296"/>
    <w:rsid w:val="00232511"/>
    <w:rsid w:val="0023251F"/>
    <w:rsid w:val="00232668"/>
    <w:rsid w:val="00232890"/>
    <w:rsid w:val="002331F5"/>
    <w:rsid w:val="002336F0"/>
    <w:rsid w:val="00233916"/>
    <w:rsid w:val="00234157"/>
    <w:rsid w:val="0023415C"/>
    <w:rsid w:val="002346C9"/>
    <w:rsid w:val="00234B26"/>
    <w:rsid w:val="00234B5F"/>
    <w:rsid w:val="002354E9"/>
    <w:rsid w:val="0023554F"/>
    <w:rsid w:val="00235B4F"/>
    <w:rsid w:val="00235D4C"/>
    <w:rsid w:val="002363DA"/>
    <w:rsid w:val="00236BD9"/>
    <w:rsid w:val="0023722F"/>
    <w:rsid w:val="00237399"/>
    <w:rsid w:val="002375C7"/>
    <w:rsid w:val="00237700"/>
    <w:rsid w:val="0023774A"/>
    <w:rsid w:val="002377D6"/>
    <w:rsid w:val="00237C72"/>
    <w:rsid w:val="00237CE1"/>
    <w:rsid w:val="00240282"/>
    <w:rsid w:val="00240AE5"/>
    <w:rsid w:val="00240B98"/>
    <w:rsid w:val="002413A7"/>
    <w:rsid w:val="00241572"/>
    <w:rsid w:val="0024166F"/>
    <w:rsid w:val="00241770"/>
    <w:rsid w:val="00241DA2"/>
    <w:rsid w:val="0024287B"/>
    <w:rsid w:val="00242D86"/>
    <w:rsid w:val="00243E65"/>
    <w:rsid w:val="00243EB2"/>
    <w:rsid w:val="00244135"/>
    <w:rsid w:val="002441C3"/>
    <w:rsid w:val="00244409"/>
    <w:rsid w:val="002446AF"/>
    <w:rsid w:val="0024565E"/>
    <w:rsid w:val="002457F4"/>
    <w:rsid w:val="0024605D"/>
    <w:rsid w:val="00246DAC"/>
    <w:rsid w:val="00247559"/>
    <w:rsid w:val="0024798A"/>
    <w:rsid w:val="00247BC3"/>
    <w:rsid w:val="002519FE"/>
    <w:rsid w:val="00251ADA"/>
    <w:rsid w:val="00252292"/>
    <w:rsid w:val="0025234A"/>
    <w:rsid w:val="0025392C"/>
    <w:rsid w:val="002540A7"/>
    <w:rsid w:val="00254695"/>
    <w:rsid w:val="002546AA"/>
    <w:rsid w:val="00254717"/>
    <w:rsid w:val="002551AB"/>
    <w:rsid w:val="0025554D"/>
    <w:rsid w:val="00255B65"/>
    <w:rsid w:val="00255DBA"/>
    <w:rsid w:val="00255FA7"/>
    <w:rsid w:val="002562FC"/>
    <w:rsid w:val="002565E4"/>
    <w:rsid w:val="00256672"/>
    <w:rsid w:val="0025696A"/>
    <w:rsid w:val="00256DBB"/>
    <w:rsid w:val="00257337"/>
    <w:rsid w:val="00257517"/>
    <w:rsid w:val="00257571"/>
    <w:rsid w:val="002601E4"/>
    <w:rsid w:val="002607E9"/>
    <w:rsid w:val="002610A7"/>
    <w:rsid w:val="002614E3"/>
    <w:rsid w:val="00261B94"/>
    <w:rsid w:val="00261BD9"/>
    <w:rsid w:val="00261C6A"/>
    <w:rsid w:val="00261D86"/>
    <w:rsid w:val="00262250"/>
    <w:rsid w:val="0026286B"/>
    <w:rsid w:val="00262935"/>
    <w:rsid w:val="00262BE5"/>
    <w:rsid w:val="00262F5B"/>
    <w:rsid w:val="00263036"/>
    <w:rsid w:val="0026314E"/>
    <w:rsid w:val="00263352"/>
    <w:rsid w:val="002637FA"/>
    <w:rsid w:val="00263EBE"/>
    <w:rsid w:val="0026480F"/>
    <w:rsid w:val="00264A57"/>
    <w:rsid w:val="00264B3C"/>
    <w:rsid w:val="0026510F"/>
    <w:rsid w:val="00265C9B"/>
    <w:rsid w:val="00265CD0"/>
    <w:rsid w:val="002662A2"/>
    <w:rsid w:val="00266B74"/>
    <w:rsid w:val="002673C3"/>
    <w:rsid w:val="00267D0E"/>
    <w:rsid w:val="00267D83"/>
    <w:rsid w:val="00267E8F"/>
    <w:rsid w:val="00267F3B"/>
    <w:rsid w:val="00267FED"/>
    <w:rsid w:val="00270821"/>
    <w:rsid w:val="002709F4"/>
    <w:rsid w:val="00270A6C"/>
    <w:rsid w:val="00270B9D"/>
    <w:rsid w:val="00270E23"/>
    <w:rsid w:val="00271053"/>
    <w:rsid w:val="00271143"/>
    <w:rsid w:val="0027146B"/>
    <w:rsid w:val="00271E4B"/>
    <w:rsid w:val="0027247B"/>
    <w:rsid w:val="002731F7"/>
    <w:rsid w:val="00273529"/>
    <w:rsid w:val="0027445C"/>
    <w:rsid w:val="0027486C"/>
    <w:rsid w:val="00274EAA"/>
    <w:rsid w:val="0027526D"/>
    <w:rsid w:val="002755F8"/>
    <w:rsid w:val="00275AA9"/>
    <w:rsid w:val="00276865"/>
    <w:rsid w:val="00276D80"/>
    <w:rsid w:val="002773CF"/>
    <w:rsid w:val="0028009E"/>
    <w:rsid w:val="00280958"/>
    <w:rsid w:val="002809C0"/>
    <w:rsid w:val="002812E6"/>
    <w:rsid w:val="00281664"/>
    <w:rsid w:val="00281895"/>
    <w:rsid w:val="00281B57"/>
    <w:rsid w:val="00282171"/>
    <w:rsid w:val="0028289C"/>
    <w:rsid w:val="00282FB9"/>
    <w:rsid w:val="00283119"/>
    <w:rsid w:val="0028352B"/>
    <w:rsid w:val="00283765"/>
    <w:rsid w:val="00283B85"/>
    <w:rsid w:val="00283FA3"/>
    <w:rsid w:val="0028418E"/>
    <w:rsid w:val="002843AC"/>
    <w:rsid w:val="00284959"/>
    <w:rsid w:val="00284979"/>
    <w:rsid w:val="00284F74"/>
    <w:rsid w:val="002850E0"/>
    <w:rsid w:val="00285131"/>
    <w:rsid w:val="0028531E"/>
    <w:rsid w:val="002856A1"/>
    <w:rsid w:val="0028589F"/>
    <w:rsid w:val="00285D36"/>
    <w:rsid w:val="00285D70"/>
    <w:rsid w:val="002869E7"/>
    <w:rsid w:val="0028707D"/>
    <w:rsid w:val="002876CC"/>
    <w:rsid w:val="00287771"/>
    <w:rsid w:val="00287880"/>
    <w:rsid w:val="00287C97"/>
    <w:rsid w:val="00287DDE"/>
    <w:rsid w:val="00287EFE"/>
    <w:rsid w:val="00290440"/>
    <w:rsid w:val="002904E7"/>
    <w:rsid w:val="00290B2F"/>
    <w:rsid w:val="0029107A"/>
    <w:rsid w:val="00291355"/>
    <w:rsid w:val="002919E5"/>
    <w:rsid w:val="00292290"/>
    <w:rsid w:val="0029255A"/>
    <w:rsid w:val="00293233"/>
    <w:rsid w:val="00293730"/>
    <w:rsid w:val="00294105"/>
    <w:rsid w:val="00294D64"/>
    <w:rsid w:val="00295263"/>
    <w:rsid w:val="002954C7"/>
    <w:rsid w:val="00295681"/>
    <w:rsid w:val="00295C7E"/>
    <w:rsid w:val="00295D34"/>
    <w:rsid w:val="00296545"/>
    <w:rsid w:val="00296A22"/>
    <w:rsid w:val="00296BBA"/>
    <w:rsid w:val="0029744F"/>
    <w:rsid w:val="002977D3"/>
    <w:rsid w:val="002979B7"/>
    <w:rsid w:val="00297CFB"/>
    <w:rsid w:val="00297D20"/>
    <w:rsid w:val="00297F2C"/>
    <w:rsid w:val="002A00B9"/>
    <w:rsid w:val="002A0E37"/>
    <w:rsid w:val="002A0F17"/>
    <w:rsid w:val="002A103B"/>
    <w:rsid w:val="002A143B"/>
    <w:rsid w:val="002A16E4"/>
    <w:rsid w:val="002A17D6"/>
    <w:rsid w:val="002A2420"/>
    <w:rsid w:val="002A2575"/>
    <w:rsid w:val="002A2662"/>
    <w:rsid w:val="002A2CBB"/>
    <w:rsid w:val="002A3539"/>
    <w:rsid w:val="002A3FBC"/>
    <w:rsid w:val="002A4276"/>
    <w:rsid w:val="002A4621"/>
    <w:rsid w:val="002A479B"/>
    <w:rsid w:val="002A48BD"/>
    <w:rsid w:val="002A4B8A"/>
    <w:rsid w:val="002A529F"/>
    <w:rsid w:val="002A5878"/>
    <w:rsid w:val="002A5BD3"/>
    <w:rsid w:val="002A6036"/>
    <w:rsid w:val="002A60D8"/>
    <w:rsid w:val="002A6149"/>
    <w:rsid w:val="002A6A71"/>
    <w:rsid w:val="002A6BD5"/>
    <w:rsid w:val="002A7554"/>
    <w:rsid w:val="002A7B7B"/>
    <w:rsid w:val="002B0393"/>
    <w:rsid w:val="002B094E"/>
    <w:rsid w:val="002B0B90"/>
    <w:rsid w:val="002B151B"/>
    <w:rsid w:val="002B166E"/>
    <w:rsid w:val="002B18D1"/>
    <w:rsid w:val="002B1B08"/>
    <w:rsid w:val="002B202B"/>
    <w:rsid w:val="002B213C"/>
    <w:rsid w:val="002B21CD"/>
    <w:rsid w:val="002B2579"/>
    <w:rsid w:val="002B30C1"/>
    <w:rsid w:val="002B345C"/>
    <w:rsid w:val="002B3C38"/>
    <w:rsid w:val="002B3C7B"/>
    <w:rsid w:val="002B3DF9"/>
    <w:rsid w:val="002B3E9B"/>
    <w:rsid w:val="002B4606"/>
    <w:rsid w:val="002B463B"/>
    <w:rsid w:val="002B4A7E"/>
    <w:rsid w:val="002B4C0F"/>
    <w:rsid w:val="002B4D1A"/>
    <w:rsid w:val="002B531B"/>
    <w:rsid w:val="002B5BCB"/>
    <w:rsid w:val="002B5D67"/>
    <w:rsid w:val="002B601A"/>
    <w:rsid w:val="002B667F"/>
    <w:rsid w:val="002B6789"/>
    <w:rsid w:val="002B6AF5"/>
    <w:rsid w:val="002B6B1E"/>
    <w:rsid w:val="002B72D0"/>
    <w:rsid w:val="002B7CDD"/>
    <w:rsid w:val="002B7D30"/>
    <w:rsid w:val="002B7D3B"/>
    <w:rsid w:val="002C061B"/>
    <w:rsid w:val="002C06D2"/>
    <w:rsid w:val="002C1B57"/>
    <w:rsid w:val="002C1BDA"/>
    <w:rsid w:val="002C1DAD"/>
    <w:rsid w:val="002C201E"/>
    <w:rsid w:val="002C202F"/>
    <w:rsid w:val="002C2376"/>
    <w:rsid w:val="002C2393"/>
    <w:rsid w:val="002C277F"/>
    <w:rsid w:val="002C30C2"/>
    <w:rsid w:val="002C360B"/>
    <w:rsid w:val="002C3664"/>
    <w:rsid w:val="002C37BF"/>
    <w:rsid w:val="002C396E"/>
    <w:rsid w:val="002C41E0"/>
    <w:rsid w:val="002C4733"/>
    <w:rsid w:val="002C473A"/>
    <w:rsid w:val="002C486C"/>
    <w:rsid w:val="002C4A45"/>
    <w:rsid w:val="002C4D23"/>
    <w:rsid w:val="002C50E4"/>
    <w:rsid w:val="002C64FA"/>
    <w:rsid w:val="002C652C"/>
    <w:rsid w:val="002C704B"/>
    <w:rsid w:val="002C7A68"/>
    <w:rsid w:val="002D077F"/>
    <w:rsid w:val="002D1908"/>
    <w:rsid w:val="002D2367"/>
    <w:rsid w:val="002D2568"/>
    <w:rsid w:val="002D2AD7"/>
    <w:rsid w:val="002D2C1E"/>
    <w:rsid w:val="002D3873"/>
    <w:rsid w:val="002D3D3B"/>
    <w:rsid w:val="002D3EA9"/>
    <w:rsid w:val="002D3F17"/>
    <w:rsid w:val="002D4241"/>
    <w:rsid w:val="002D4242"/>
    <w:rsid w:val="002D4901"/>
    <w:rsid w:val="002D4E5E"/>
    <w:rsid w:val="002D4FB9"/>
    <w:rsid w:val="002D519D"/>
    <w:rsid w:val="002D536D"/>
    <w:rsid w:val="002D607C"/>
    <w:rsid w:val="002D655C"/>
    <w:rsid w:val="002D67E8"/>
    <w:rsid w:val="002D6D29"/>
    <w:rsid w:val="002D732B"/>
    <w:rsid w:val="002D7AB3"/>
    <w:rsid w:val="002D7D10"/>
    <w:rsid w:val="002E05BA"/>
    <w:rsid w:val="002E0A01"/>
    <w:rsid w:val="002E14C6"/>
    <w:rsid w:val="002E1970"/>
    <w:rsid w:val="002E1A8F"/>
    <w:rsid w:val="002E1A93"/>
    <w:rsid w:val="002E369D"/>
    <w:rsid w:val="002E3A76"/>
    <w:rsid w:val="002E3EB0"/>
    <w:rsid w:val="002E45E0"/>
    <w:rsid w:val="002E4BFA"/>
    <w:rsid w:val="002E4D88"/>
    <w:rsid w:val="002E56B7"/>
    <w:rsid w:val="002E5839"/>
    <w:rsid w:val="002E5873"/>
    <w:rsid w:val="002E5EA8"/>
    <w:rsid w:val="002E5ED9"/>
    <w:rsid w:val="002E5FC7"/>
    <w:rsid w:val="002E604C"/>
    <w:rsid w:val="002E6FE9"/>
    <w:rsid w:val="002E7196"/>
    <w:rsid w:val="002E7FDF"/>
    <w:rsid w:val="002F087D"/>
    <w:rsid w:val="002F0F0B"/>
    <w:rsid w:val="002F108B"/>
    <w:rsid w:val="002F16D5"/>
    <w:rsid w:val="002F18C7"/>
    <w:rsid w:val="002F1D8B"/>
    <w:rsid w:val="002F1EA8"/>
    <w:rsid w:val="002F295C"/>
    <w:rsid w:val="002F2F32"/>
    <w:rsid w:val="002F3038"/>
    <w:rsid w:val="002F3560"/>
    <w:rsid w:val="002F3674"/>
    <w:rsid w:val="002F3D02"/>
    <w:rsid w:val="002F3EED"/>
    <w:rsid w:val="002F3FAA"/>
    <w:rsid w:val="002F4098"/>
    <w:rsid w:val="002F4EED"/>
    <w:rsid w:val="002F53A8"/>
    <w:rsid w:val="002F55D9"/>
    <w:rsid w:val="002F6742"/>
    <w:rsid w:val="002F6A7C"/>
    <w:rsid w:val="002F6D85"/>
    <w:rsid w:val="002F6E73"/>
    <w:rsid w:val="002F6EEC"/>
    <w:rsid w:val="002F7056"/>
    <w:rsid w:val="002F728A"/>
    <w:rsid w:val="002F75BE"/>
    <w:rsid w:val="002F793B"/>
    <w:rsid w:val="002F7BB0"/>
    <w:rsid w:val="003007D6"/>
    <w:rsid w:val="0030080D"/>
    <w:rsid w:val="00300D08"/>
    <w:rsid w:val="0030121B"/>
    <w:rsid w:val="00301825"/>
    <w:rsid w:val="0030275B"/>
    <w:rsid w:val="00302A34"/>
    <w:rsid w:val="00302C80"/>
    <w:rsid w:val="00303175"/>
    <w:rsid w:val="003031B2"/>
    <w:rsid w:val="003032A1"/>
    <w:rsid w:val="00303807"/>
    <w:rsid w:val="00303CC1"/>
    <w:rsid w:val="00304658"/>
    <w:rsid w:val="003047CB"/>
    <w:rsid w:val="00304846"/>
    <w:rsid w:val="003049E5"/>
    <w:rsid w:val="00304D6B"/>
    <w:rsid w:val="00305635"/>
    <w:rsid w:val="00305B63"/>
    <w:rsid w:val="00305E9F"/>
    <w:rsid w:val="00305F93"/>
    <w:rsid w:val="00306A1E"/>
    <w:rsid w:val="00306C70"/>
    <w:rsid w:val="00306CB7"/>
    <w:rsid w:val="003071AE"/>
    <w:rsid w:val="00307207"/>
    <w:rsid w:val="00307B90"/>
    <w:rsid w:val="00307DF2"/>
    <w:rsid w:val="0031038F"/>
    <w:rsid w:val="003104B2"/>
    <w:rsid w:val="00310AC1"/>
    <w:rsid w:val="00310EA5"/>
    <w:rsid w:val="003111A3"/>
    <w:rsid w:val="003116A1"/>
    <w:rsid w:val="00311C23"/>
    <w:rsid w:val="00311E3F"/>
    <w:rsid w:val="00312366"/>
    <w:rsid w:val="00312795"/>
    <w:rsid w:val="00313329"/>
    <w:rsid w:val="00313633"/>
    <w:rsid w:val="0031386C"/>
    <w:rsid w:val="0031392B"/>
    <w:rsid w:val="00313A39"/>
    <w:rsid w:val="00314273"/>
    <w:rsid w:val="003144B1"/>
    <w:rsid w:val="00314E1B"/>
    <w:rsid w:val="00315439"/>
    <w:rsid w:val="0031559A"/>
    <w:rsid w:val="003157E9"/>
    <w:rsid w:val="00315AF3"/>
    <w:rsid w:val="00315EDF"/>
    <w:rsid w:val="00316437"/>
    <w:rsid w:val="00316462"/>
    <w:rsid w:val="003164A8"/>
    <w:rsid w:val="00316614"/>
    <w:rsid w:val="00316ABA"/>
    <w:rsid w:val="00316BBB"/>
    <w:rsid w:val="003174FC"/>
    <w:rsid w:val="00317657"/>
    <w:rsid w:val="0031766A"/>
    <w:rsid w:val="00317671"/>
    <w:rsid w:val="00320AF8"/>
    <w:rsid w:val="00321474"/>
    <w:rsid w:val="00321989"/>
    <w:rsid w:val="003219C2"/>
    <w:rsid w:val="003223F3"/>
    <w:rsid w:val="00322D01"/>
    <w:rsid w:val="003237C6"/>
    <w:rsid w:val="0032448A"/>
    <w:rsid w:val="003248BE"/>
    <w:rsid w:val="00325663"/>
    <w:rsid w:val="00325CDD"/>
    <w:rsid w:val="00326177"/>
    <w:rsid w:val="00327284"/>
    <w:rsid w:val="00327341"/>
    <w:rsid w:val="0032762D"/>
    <w:rsid w:val="00327A13"/>
    <w:rsid w:val="00330607"/>
    <w:rsid w:val="00330A0F"/>
    <w:rsid w:val="00330DCB"/>
    <w:rsid w:val="00330E7E"/>
    <w:rsid w:val="00331060"/>
    <w:rsid w:val="003310D7"/>
    <w:rsid w:val="0033112C"/>
    <w:rsid w:val="00331145"/>
    <w:rsid w:val="00331187"/>
    <w:rsid w:val="0033119F"/>
    <w:rsid w:val="00332066"/>
    <w:rsid w:val="003321B5"/>
    <w:rsid w:val="0033243D"/>
    <w:rsid w:val="003325CD"/>
    <w:rsid w:val="003334E5"/>
    <w:rsid w:val="003335A7"/>
    <w:rsid w:val="00333970"/>
    <w:rsid w:val="0033450A"/>
    <w:rsid w:val="003345E2"/>
    <w:rsid w:val="00334675"/>
    <w:rsid w:val="00334887"/>
    <w:rsid w:val="003348B6"/>
    <w:rsid w:val="003349BD"/>
    <w:rsid w:val="00334AD1"/>
    <w:rsid w:val="003359B0"/>
    <w:rsid w:val="00335C64"/>
    <w:rsid w:val="00335D18"/>
    <w:rsid w:val="0033644D"/>
    <w:rsid w:val="00336B79"/>
    <w:rsid w:val="00337855"/>
    <w:rsid w:val="00337AD4"/>
    <w:rsid w:val="00337E25"/>
    <w:rsid w:val="00337F48"/>
    <w:rsid w:val="00337FD9"/>
    <w:rsid w:val="00340779"/>
    <w:rsid w:val="003409FB"/>
    <w:rsid w:val="00340F9B"/>
    <w:rsid w:val="0034239A"/>
    <w:rsid w:val="00342776"/>
    <w:rsid w:val="00342A4B"/>
    <w:rsid w:val="00342E6C"/>
    <w:rsid w:val="00344433"/>
    <w:rsid w:val="00345595"/>
    <w:rsid w:val="00345A7E"/>
    <w:rsid w:val="003462D4"/>
    <w:rsid w:val="00347124"/>
    <w:rsid w:val="003472E0"/>
    <w:rsid w:val="003473B8"/>
    <w:rsid w:val="00347743"/>
    <w:rsid w:val="003509C9"/>
    <w:rsid w:val="00350DD6"/>
    <w:rsid w:val="00351690"/>
    <w:rsid w:val="00351D1B"/>
    <w:rsid w:val="00352737"/>
    <w:rsid w:val="00352D0C"/>
    <w:rsid w:val="00352F84"/>
    <w:rsid w:val="00353305"/>
    <w:rsid w:val="00353686"/>
    <w:rsid w:val="00353E7E"/>
    <w:rsid w:val="00354213"/>
    <w:rsid w:val="00354432"/>
    <w:rsid w:val="003550D6"/>
    <w:rsid w:val="003558E3"/>
    <w:rsid w:val="00355AD6"/>
    <w:rsid w:val="00355E17"/>
    <w:rsid w:val="003566D3"/>
    <w:rsid w:val="00356867"/>
    <w:rsid w:val="003569BD"/>
    <w:rsid w:val="00356B85"/>
    <w:rsid w:val="003570A2"/>
    <w:rsid w:val="00357195"/>
    <w:rsid w:val="003571A5"/>
    <w:rsid w:val="00357A7F"/>
    <w:rsid w:val="00357AC4"/>
    <w:rsid w:val="003600AF"/>
    <w:rsid w:val="00360149"/>
    <w:rsid w:val="00360C76"/>
    <w:rsid w:val="00360CFF"/>
    <w:rsid w:val="00360F56"/>
    <w:rsid w:val="003613E1"/>
    <w:rsid w:val="00361B29"/>
    <w:rsid w:val="00361F2D"/>
    <w:rsid w:val="003623AD"/>
    <w:rsid w:val="0036317F"/>
    <w:rsid w:val="003635FF"/>
    <w:rsid w:val="00363B4A"/>
    <w:rsid w:val="00363DD5"/>
    <w:rsid w:val="00364668"/>
    <w:rsid w:val="00364C4D"/>
    <w:rsid w:val="00365423"/>
    <w:rsid w:val="00365C06"/>
    <w:rsid w:val="00366091"/>
    <w:rsid w:val="00366528"/>
    <w:rsid w:val="00366990"/>
    <w:rsid w:val="00366D13"/>
    <w:rsid w:val="00366FF7"/>
    <w:rsid w:val="00367B4F"/>
    <w:rsid w:val="00367BD6"/>
    <w:rsid w:val="00370404"/>
    <w:rsid w:val="0037042B"/>
    <w:rsid w:val="003709CB"/>
    <w:rsid w:val="003714CF"/>
    <w:rsid w:val="00371955"/>
    <w:rsid w:val="00371B50"/>
    <w:rsid w:val="00371DC0"/>
    <w:rsid w:val="00371E01"/>
    <w:rsid w:val="003727D1"/>
    <w:rsid w:val="0037298F"/>
    <w:rsid w:val="00373056"/>
    <w:rsid w:val="003737C2"/>
    <w:rsid w:val="00373B12"/>
    <w:rsid w:val="00373D32"/>
    <w:rsid w:val="0037452F"/>
    <w:rsid w:val="00374605"/>
    <w:rsid w:val="00374B02"/>
    <w:rsid w:val="00375456"/>
    <w:rsid w:val="00375885"/>
    <w:rsid w:val="00375C70"/>
    <w:rsid w:val="003772F7"/>
    <w:rsid w:val="00377B20"/>
    <w:rsid w:val="00377D2D"/>
    <w:rsid w:val="003801B0"/>
    <w:rsid w:val="00380213"/>
    <w:rsid w:val="003802B2"/>
    <w:rsid w:val="00381230"/>
    <w:rsid w:val="00381657"/>
    <w:rsid w:val="00381A78"/>
    <w:rsid w:val="00381FFE"/>
    <w:rsid w:val="00382412"/>
    <w:rsid w:val="00382498"/>
    <w:rsid w:val="00383098"/>
    <w:rsid w:val="0038344D"/>
    <w:rsid w:val="00383DCA"/>
    <w:rsid w:val="00383E7D"/>
    <w:rsid w:val="00384363"/>
    <w:rsid w:val="003849A0"/>
    <w:rsid w:val="003855FE"/>
    <w:rsid w:val="00385724"/>
    <w:rsid w:val="00385751"/>
    <w:rsid w:val="00386368"/>
    <w:rsid w:val="003864DC"/>
    <w:rsid w:val="003864F8"/>
    <w:rsid w:val="00386A7E"/>
    <w:rsid w:val="00386F91"/>
    <w:rsid w:val="00386FB8"/>
    <w:rsid w:val="003870BC"/>
    <w:rsid w:val="00387338"/>
    <w:rsid w:val="0039024B"/>
    <w:rsid w:val="00390531"/>
    <w:rsid w:val="00390685"/>
    <w:rsid w:val="00390697"/>
    <w:rsid w:val="003907E2"/>
    <w:rsid w:val="003909C2"/>
    <w:rsid w:val="00390E89"/>
    <w:rsid w:val="003918FB"/>
    <w:rsid w:val="00391C08"/>
    <w:rsid w:val="00392486"/>
    <w:rsid w:val="00392E47"/>
    <w:rsid w:val="0039308D"/>
    <w:rsid w:val="00393448"/>
    <w:rsid w:val="003939C5"/>
    <w:rsid w:val="0039441E"/>
    <w:rsid w:val="003957B8"/>
    <w:rsid w:val="00395CE9"/>
    <w:rsid w:val="00396A7A"/>
    <w:rsid w:val="00397306"/>
    <w:rsid w:val="003A0226"/>
    <w:rsid w:val="003A06D1"/>
    <w:rsid w:val="003A0C1A"/>
    <w:rsid w:val="003A15C0"/>
    <w:rsid w:val="003A1612"/>
    <w:rsid w:val="003A1A32"/>
    <w:rsid w:val="003A1AC1"/>
    <w:rsid w:val="003A1B41"/>
    <w:rsid w:val="003A2412"/>
    <w:rsid w:val="003A2B3F"/>
    <w:rsid w:val="003A2CFE"/>
    <w:rsid w:val="003A2D3B"/>
    <w:rsid w:val="003A32AA"/>
    <w:rsid w:val="003A36D1"/>
    <w:rsid w:val="003A380C"/>
    <w:rsid w:val="003A3F75"/>
    <w:rsid w:val="003A4C3B"/>
    <w:rsid w:val="003A528B"/>
    <w:rsid w:val="003A56E0"/>
    <w:rsid w:val="003A57F4"/>
    <w:rsid w:val="003A5985"/>
    <w:rsid w:val="003A5C43"/>
    <w:rsid w:val="003A651B"/>
    <w:rsid w:val="003A68B7"/>
    <w:rsid w:val="003A76F8"/>
    <w:rsid w:val="003A79D6"/>
    <w:rsid w:val="003B157C"/>
    <w:rsid w:val="003B2488"/>
    <w:rsid w:val="003B2896"/>
    <w:rsid w:val="003B2A97"/>
    <w:rsid w:val="003B2D66"/>
    <w:rsid w:val="003B3007"/>
    <w:rsid w:val="003B30CC"/>
    <w:rsid w:val="003B3141"/>
    <w:rsid w:val="003B3415"/>
    <w:rsid w:val="003B35F2"/>
    <w:rsid w:val="003B3AF6"/>
    <w:rsid w:val="003B4360"/>
    <w:rsid w:val="003B4A79"/>
    <w:rsid w:val="003B4B57"/>
    <w:rsid w:val="003B4C51"/>
    <w:rsid w:val="003B4E98"/>
    <w:rsid w:val="003B5763"/>
    <w:rsid w:val="003B588F"/>
    <w:rsid w:val="003B59CD"/>
    <w:rsid w:val="003B5A31"/>
    <w:rsid w:val="003B5A94"/>
    <w:rsid w:val="003B5C42"/>
    <w:rsid w:val="003B5D14"/>
    <w:rsid w:val="003B6585"/>
    <w:rsid w:val="003B676C"/>
    <w:rsid w:val="003B6B27"/>
    <w:rsid w:val="003B6FF1"/>
    <w:rsid w:val="003B7562"/>
    <w:rsid w:val="003C00B8"/>
    <w:rsid w:val="003C0938"/>
    <w:rsid w:val="003C0CA0"/>
    <w:rsid w:val="003C0F13"/>
    <w:rsid w:val="003C104B"/>
    <w:rsid w:val="003C1123"/>
    <w:rsid w:val="003C1AE0"/>
    <w:rsid w:val="003C209B"/>
    <w:rsid w:val="003C243B"/>
    <w:rsid w:val="003C27BF"/>
    <w:rsid w:val="003C2EC3"/>
    <w:rsid w:val="003C304C"/>
    <w:rsid w:val="003C333F"/>
    <w:rsid w:val="003C343F"/>
    <w:rsid w:val="003C3471"/>
    <w:rsid w:val="003C3A65"/>
    <w:rsid w:val="003C3E5B"/>
    <w:rsid w:val="003C3FF7"/>
    <w:rsid w:val="003C4EE7"/>
    <w:rsid w:val="003C56BD"/>
    <w:rsid w:val="003C5C10"/>
    <w:rsid w:val="003C5C78"/>
    <w:rsid w:val="003C5E4E"/>
    <w:rsid w:val="003C6818"/>
    <w:rsid w:val="003C6FF5"/>
    <w:rsid w:val="003C71EC"/>
    <w:rsid w:val="003C7565"/>
    <w:rsid w:val="003C75FE"/>
    <w:rsid w:val="003C7D80"/>
    <w:rsid w:val="003D0A74"/>
    <w:rsid w:val="003D11F0"/>
    <w:rsid w:val="003D2EBF"/>
    <w:rsid w:val="003D3156"/>
    <w:rsid w:val="003D33FD"/>
    <w:rsid w:val="003D4690"/>
    <w:rsid w:val="003D46DD"/>
    <w:rsid w:val="003D48C1"/>
    <w:rsid w:val="003D494C"/>
    <w:rsid w:val="003D49CC"/>
    <w:rsid w:val="003D4CB0"/>
    <w:rsid w:val="003D5194"/>
    <w:rsid w:val="003D59E1"/>
    <w:rsid w:val="003D5D1C"/>
    <w:rsid w:val="003D60A8"/>
    <w:rsid w:val="003D620F"/>
    <w:rsid w:val="003D63D2"/>
    <w:rsid w:val="003D6560"/>
    <w:rsid w:val="003D67D7"/>
    <w:rsid w:val="003D68A4"/>
    <w:rsid w:val="003D6D3C"/>
    <w:rsid w:val="003D7BCE"/>
    <w:rsid w:val="003D7DBE"/>
    <w:rsid w:val="003E09ED"/>
    <w:rsid w:val="003E0C5D"/>
    <w:rsid w:val="003E0CCB"/>
    <w:rsid w:val="003E0CD2"/>
    <w:rsid w:val="003E1076"/>
    <w:rsid w:val="003E15C7"/>
    <w:rsid w:val="003E1E15"/>
    <w:rsid w:val="003E2194"/>
    <w:rsid w:val="003E2C8D"/>
    <w:rsid w:val="003E2F18"/>
    <w:rsid w:val="003E364E"/>
    <w:rsid w:val="003E4610"/>
    <w:rsid w:val="003E4621"/>
    <w:rsid w:val="003E48EC"/>
    <w:rsid w:val="003E50C0"/>
    <w:rsid w:val="003E5138"/>
    <w:rsid w:val="003E57BE"/>
    <w:rsid w:val="003E5CD4"/>
    <w:rsid w:val="003E5D83"/>
    <w:rsid w:val="003E6213"/>
    <w:rsid w:val="003E6318"/>
    <w:rsid w:val="003E6E98"/>
    <w:rsid w:val="003E71A5"/>
    <w:rsid w:val="003E737F"/>
    <w:rsid w:val="003E7F9A"/>
    <w:rsid w:val="003F068E"/>
    <w:rsid w:val="003F07DF"/>
    <w:rsid w:val="003F08DD"/>
    <w:rsid w:val="003F09FE"/>
    <w:rsid w:val="003F0B26"/>
    <w:rsid w:val="003F0D7D"/>
    <w:rsid w:val="003F1016"/>
    <w:rsid w:val="003F1697"/>
    <w:rsid w:val="003F17FD"/>
    <w:rsid w:val="003F1BED"/>
    <w:rsid w:val="003F254F"/>
    <w:rsid w:val="003F27A4"/>
    <w:rsid w:val="003F2F15"/>
    <w:rsid w:val="003F3293"/>
    <w:rsid w:val="003F389E"/>
    <w:rsid w:val="003F3CFD"/>
    <w:rsid w:val="003F4937"/>
    <w:rsid w:val="003F531F"/>
    <w:rsid w:val="003F53A9"/>
    <w:rsid w:val="003F5481"/>
    <w:rsid w:val="003F54E4"/>
    <w:rsid w:val="003F5527"/>
    <w:rsid w:val="003F5B84"/>
    <w:rsid w:val="003F5D6F"/>
    <w:rsid w:val="003F5E55"/>
    <w:rsid w:val="003F6091"/>
    <w:rsid w:val="003F60C7"/>
    <w:rsid w:val="003F640E"/>
    <w:rsid w:val="003F66D1"/>
    <w:rsid w:val="003F695C"/>
    <w:rsid w:val="003F7217"/>
    <w:rsid w:val="003F7450"/>
    <w:rsid w:val="003F75D7"/>
    <w:rsid w:val="003F7A0E"/>
    <w:rsid w:val="003F7D46"/>
    <w:rsid w:val="0040043C"/>
    <w:rsid w:val="00401C3B"/>
    <w:rsid w:val="00401FAE"/>
    <w:rsid w:val="00402037"/>
    <w:rsid w:val="00402708"/>
    <w:rsid w:val="0040287E"/>
    <w:rsid w:val="00402C5F"/>
    <w:rsid w:val="00402F6C"/>
    <w:rsid w:val="00403423"/>
    <w:rsid w:val="004036C6"/>
    <w:rsid w:val="0040379D"/>
    <w:rsid w:val="00403A22"/>
    <w:rsid w:val="00403C02"/>
    <w:rsid w:val="00403CEC"/>
    <w:rsid w:val="004042CA"/>
    <w:rsid w:val="00404FC0"/>
    <w:rsid w:val="00405AF8"/>
    <w:rsid w:val="00405C1A"/>
    <w:rsid w:val="00405D75"/>
    <w:rsid w:val="004069F9"/>
    <w:rsid w:val="00407996"/>
    <w:rsid w:val="00407A91"/>
    <w:rsid w:val="0041011F"/>
    <w:rsid w:val="004104B2"/>
    <w:rsid w:val="00411EF7"/>
    <w:rsid w:val="00412071"/>
    <w:rsid w:val="00412A96"/>
    <w:rsid w:val="0041377E"/>
    <w:rsid w:val="00413C6E"/>
    <w:rsid w:val="00413F43"/>
    <w:rsid w:val="00414574"/>
    <w:rsid w:val="00414CFA"/>
    <w:rsid w:val="00415689"/>
    <w:rsid w:val="00415B11"/>
    <w:rsid w:val="004161AB"/>
    <w:rsid w:val="00416DCA"/>
    <w:rsid w:val="00416E50"/>
    <w:rsid w:val="00416EE9"/>
    <w:rsid w:val="00417487"/>
    <w:rsid w:val="0041764A"/>
    <w:rsid w:val="00417931"/>
    <w:rsid w:val="00417A2F"/>
    <w:rsid w:val="004202D9"/>
    <w:rsid w:val="00420747"/>
    <w:rsid w:val="004212AF"/>
    <w:rsid w:val="0042132F"/>
    <w:rsid w:val="00421612"/>
    <w:rsid w:val="00421C88"/>
    <w:rsid w:val="00421CDC"/>
    <w:rsid w:val="00421F5D"/>
    <w:rsid w:val="004224E3"/>
    <w:rsid w:val="0042264C"/>
    <w:rsid w:val="004228F8"/>
    <w:rsid w:val="00422F0B"/>
    <w:rsid w:val="004239CA"/>
    <w:rsid w:val="00424031"/>
    <w:rsid w:val="00424147"/>
    <w:rsid w:val="0042486F"/>
    <w:rsid w:val="00425586"/>
    <w:rsid w:val="00425591"/>
    <w:rsid w:val="004259A7"/>
    <w:rsid w:val="00425BC2"/>
    <w:rsid w:val="00425BFE"/>
    <w:rsid w:val="004264B1"/>
    <w:rsid w:val="004267B5"/>
    <w:rsid w:val="004269B4"/>
    <w:rsid w:val="00426CA7"/>
    <w:rsid w:val="00426CDF"/>
    <w:rsid w:val="004274BC"/>
    <w:rsid w:val="004277B3"/>
    <w:rsid w:val="00427F41"/>
    <w:rsid w:val="00427F99"/>
    <w:rsid w:val="00427FEA"/>
    <w:rsid w:val="00430F80"/>
    <w:rsid w:val="004311CF"/>
    <w:rsid w:val="00431CF8"/>
    <w:rsid w:val="00433749"/>
    <w:rsid w:val="00433D30"/>
    <w:rsid w:val="00433E14"/>
    <w:rsid w:val="00434287"/>
    <w:rsid w:val="0043444B"/>
    <w:rsid w:val="00434E1A"/>
    <w:rsid w:val="00434F40"/>
    <w:rsid w:val="00436981"/>
    <w:rsid w:val="004369C8"/>
    <w:rsid w:val="00436B60"/>
    <w:rsid w:val="00436C40"/>
    <w:rsid w:val="00437010"/>
    <w:rsid w:val="0043750E"/>
    <w:rsid w:val="00437E48"/>
    <w:rsid w:val="00437F23"/>
    <w:rsid w:val="00440162"/>
    <w:rsid w:val="00440576"/>
    <w:rsid w:val="0044103B"/>
    <w:rsid w:val="0044164C"/>
    <w:rsid w:val="00442744"/>
    <w:rsid w:val="00443161"/>
    <w:rsid w:val="0044371A"/>
    <w:rsid w:val="004438C3"/>
    <w:rsid w:val="004439C2"/>
    <w:rsid w:val="004442C6"/>
    <w:rsid w:val="00444D55"/>
    <w:rsid w:val="00444DFF"/>
    <w:rsid w:val="00445222"/>
    <w:rsid w:val="004452A9"/>
    <w:rsid w:val="00445B80"/>
    <w:rsid w:val="00445D41"/>
    <w:rsid w:val="00445F1E"/>
    <w:rsid w:val="00445FAD"/>
    <w:rsid w:val="00446011"/>
    <w:rsid w:val="0044672D"/>
    <w:rsid w:val="004468BD"/>
    <w:rsid w:val="00446F21"/>
    <w:rsid w:val="00446FB7"/>
    <w:rsid w:val="00447DDF"/>
    <w:rsid w:val="0045025B"/>
    <w:rsid w:val="00450749"/>
    <w:rsid w:val="004507D7"/>
    <w:rsid w:val="00450C96"/>
    <w:rsid w:val="00450FBC"/>
    <w:rsid w:val="0045114C"/>
    <w:rsid w:val="0045145A"/>
    <w:rsid w:val="00451A22"/>
    <w:rsid w:val="00452096"/>
    <w:rsid w:val="00452AE7"/>
    <w:rsid w:val="00452B56"/>
    <w:rsid w:val="00453A9C"/>
    <w:rsid w:val="00454471"/>
    <w:rsid w:val="00454EB3"/>
    <w:rsid w:val="004553EE"/>
    <w:rsid w:val="004555E2"/>
    <w:rsid w:val="00456182"/>
    <w:rsid w:val="004569A6"/>
    <w:rsid w:val="00456BB2"/>
    <w:rsid w:val="00456DBC"/>
    <w:rsid w:val="00457163"/>
    <w:rsid w:val="004573B6"/>
    <w:rsid w:val="004579A3"/>
    <w:rsid w:val="00457F65"/>
    <w:rsid w:val="0046037B"/>
    <w:rsid w:val="004604C2"/>
    <w:rsid w:val="00460C8F"/>
    <w:rsid w:val="00461141"/>
    <w:rsid w:val="0046157B"/>
    <w:rsid w:val="0046184D"/>
    <w:rsid w:val="0046190B"/>
    <w:rsid w:val="004619DC"/>
    <w:rsid w:val="00461FFD"/>
    <w:rsid w:val="0046224D"/>
    <w:rsid w:val="00462A20"/>
    <w:rsid w:val="00462C7C"/>
    <w:rsid w:val="00462D08"/>
    <w:rsid w:val="00462DCD"/>
    <w:rsid w:val="0046326E"/>
    <w:rsid w:val="00463539"/>
    <w:rsid w:val="00463794"/>
    <w:rsid w:val="0046397C"/>
    <w:rsid w:val="004639B3"/>
    <w:rsid w:val="00463F59"/>
    <w:rsid w:val="00464071"/>
    <w:rsid w:val="004642D2"/>
    <w:rsid w:val="0046465D"/>
    <w:rsid w:val="00464C29"/>
    <w:rsid w:val="00465439"/>
    <w:rsid w:val="004656BC"/>
    <w:rsid w:val="00465E7F"/>
    <w:rsid w:val="00466225"/>
    <w:rsid w:val="004664DB"/>
    <w:rsid w:val="00467099"/>
    <w:rsid w:val="004674BF"/>
    <w:rsid w:val="004674E4"/>
    <w:rsid w:val="004675C6"/>
    <w:rsid w:val="00467657"/>
    <w:rsid w:val="0046768A"/>
    <w:rsid w:val="00467BCF"/>
    <w:rsid w:val="00470238"/>
    <w:rsid w:val="00470407"/>
    <w:rsid w:val="004705B6"/>
    <w:rsid w:val="00470B28"/>
    <w:rsid w:val="00471209"/>
    <w:rsid w:val="0047217F"/>
    <w:rsid w:val="00472459"/>
    <w:rsid w:val="004729B4"/>
    <w:rsid w:val="00472DAA"/>
    <w:rsid w:val="00472DE8"/>
    <w:rsid w:val="00472EC2"/>
    <w:rsid w:val="00472FE4"/>
    <w:rsid w:val="00474995"/>
    <w:rsid w:val="00474A44"/>
    <w:rsid w:val="004751D8"/>
    <w:rsid w:val="004751DB"/>
    <w:rsid w:val="00475290"/>
    <w:rsid w:val="00475E57"/>
    <w:rsid w:val="00476120"/>
    <w:rsid w:val="004761BF"/>
    <w:rsid w:val="0047627F"/>
    <w:rsid w:val="00476B88"/>
    <w:rsid w:val="004770BF"/>
    <w:rsid w:val="0047736A"/>
    <w:rsid w:val="004774D0"/>
    <w:rsid w:val="00477585"/>
    <w:rsid w:val="00477DE0"/>
    <w:rsid w:val="00477E3D"/>
    <w:rsid w:val="00477FCE"/>
    <w:rsid w:val="004804B4"/>
    <w:rsid w:val="004806AE"/>
    <w:rsid w:val="00481048"/>
    <w:rsid w:val="0048177B"/>
    <w:rsid w:val="00481885"/>
    <w:rsid w:val="004826EF"/>
    <w:rsid w:val="00482FC7"/>
    <w:rsid w:val="00483D2D"/>
    <w:rsid w:val="0048458E"/>
    <w:rsid w:val="004856FE"/>
    <w:rsid w:val="00485CAF"/>
    <w:rsid w:val="00485CE0"/>
    <w:rsid w:val="00485D85"/>
    <w:rsid w:val="0048620F"/>
    <w:rsid w:val="00486AD2"/>
    <w:rsid w:val="00486FB8"/>
    <w:rsid w:val="00490C6F"/>
    <w:rsid w:val="00490C71"/>
    <w:rsid w:val="00491959"/>
    <w:rsid w:val="00491C59"/>
    <w:rsid w:val="00491E1F"/>
    <w:rsid w:val="00491FC8"/>
    <w:rsid w:val="004925AA"/>
    <w:rsid w:val="004925EB"/>
    <w:rsid w:val="004929C6"/>
    <w:rsid w:val="00492F19"/>
    <w:rsid w:val="00492F91"/>
    <w:rsid w:val="004931DC"/>
    <w:rsid w:val="00493548"/>
    <w:rsid w:val="00493845"/>
    <w:rsid w:val="00493D3D"/>
    <w:rsid w:val="004942B4"/>
    <w:rsid w:val="0049494A"/>
    <w:rsid w:val="00495790"/>
    <w:rsid w:val="00495CA3"/>
    <w:rsid w:val="004965D5"/>
    <w:rsid w:val="004969A2"/>
    <w:rsid w:val="00497122"/>
    <w:rsid w:val="004975A9"/>
    <w:rsid w:val="0049784B"/>
    <w:rsid w:val="004A0313"/>
    <w:rsid w:val="004A0761"/>
    <w:rsid w:val="004A0B6F"/>
    <w:rsid w:val="004A0CA4"/>
    <w:rsid w:val="004A120F"/>
    <w:rsid w:val="004A13AA"/>
    <w:rsid w:val="004A13F9"/>
    <w:rsid w:val="004A1528"/>
    <w:rsid w:val="004A212F"/>
    <w:rsid w:val="004A28AD"/>
    <w:rsid w:val="004A2F74"/>
    <w:rsid w:val="004A3548"/>
    <w:rsid w:val="004A38BF"/>
    <w:rsid w:val="004A393C"/>
    <w:rsid w:val="004A43DE"/>
    <w:rsid w:val="004A49D8"/>
    <w:rsid w:val="004A4C15"/>
    <w:rsid w:val="004A4F00"/>
    <w:rsid w:val="004A5134"/>
    <w:rsid w:val="004A5404"/>
    <w:rsid w:val="004A5AA3"/>
    <w:rsid w:val="004A5D90"/>
    <w:rsid w:val="004A66DB"/>
    <w:rsid w:val="004A6965"/>
    <w:rsid w:val="004A6F16"/>
    <w:rsid w:val="004A7208"/>
    <w:rsid w:val="004A7B8D"/>
    <w:rsid w:val="004A7F78"/>
    <w:rsid w:val="004B027F"/>
    <w:rsid w:val="004B0690"/>
    <w:rsid w:val="004B0839"/>
    <w:rsid w:val="004B08F8"/>
    <w:rsid w:val="004B1119"/>
    <w:rsid w:val="004B120D"/>
    <w:rsid w:val="004B124C"/>
    <w:rsid w:val="004B16A3"/>
    <w:rsid w:val="004B1705"/>
    <w:rsid w:val="004B19B0"/>
    <w:rsid w:val="004B1DCA"/>
    <w:rsid w:val="004B1DDF"/>
    <w:rsid w:val="004B2088"/>
    <w:rsid w:val="004B234D"/>
    <w:rsid w:val="004B24BF"/>
    <w:rsid w:val="004B2AD2"/>
    <w:rsid w:val="004B2FE4"/>
    <w:rsid w:val="004B363D"/>
    <w:rsid w:val="004B38FD"/>
    <w:rsid w:val="004B3A1B"/>
    <w:rsid w:val="004B3B37"/>
    <w:rsid w:val="004B40A7"/>
    <w:rsid w:val="004B40DC"/>
    <w:rsid w:val="004B4FEA"/>
    <w:rsid w:val="004B5320"/>
    <w:rsid w:val="004B5C5D"/>
    <w:rsid w:val="004B624E"/>
    <w:rsid w:val="004B633A"/>
    <w:rsid w:val="004B6999"/>
    <w:rsid w:val="004B70BD"/>
    <w:rsid w:val="004B71A0"/>
    <w:rsid w:val="004B7B85"/>
    <w:rsid w:val="004C034E"/>
    <w:rsid w:val="004C0438"/>
    <w:rsid w:val="004C055C"/>
    <w:rsid w:val="004C0563"/>
    <w:rsid w:val="004C0760"/>
    <w:rsid w:val="004C100C"/>
    <w:rsid w:val="004C1200"/>
    <w:rsid w:val="004C16F3"/>
    <w:rsid w:val="004C1AE1"/>
    <w:rsid w:val="004C1C27"/>
    <w:rsid w:val="004C1DCC"/>
    <w:rsid w:val="004C20A0"/>
    <w:rsid w:val="004C25B9"/>
    <w:rsid w:val="004C2841"/>
    <w:rsid w:val="004C2EBA"/>
    <w:rsid w:val="004C32C4"/>
    <w:rsid w:val="004C33DE"/>
    <w:rsid w:val="004C346D"/>
    <w:rsid w:val="004C3762"/>
    <w:rsid w:val="004C3CCC"/>
    <w:rsid w:val="004C4B3E"/>
    <w:rsid w:val="004C5933"/>
    <w:rsid w:val="004C5A29"/>
    <w:rsid w:val="004C5BAB"/>
    <w:rsid w:val="004C5BEA"/>
    <w:rsid w:val="004C6506"/>
    <w:rsid w:val="004C6BF0"/>
    <w:rsid w:val="004C6C09"/>
    <w:rsid w:val="004C70F8"/>
    <w:rsid w:val="004C7367"/>
    <w:rsid w:val="004C746D"/>
    <w:rsid w:val="004C78B2"/>
    <w:rsid w:val="004D0876"/>
    <w:rsid w:val="004D09E9"/>
    <w:rsid w:val="004D0A33"/>
    <w:rsid w:val="004D1443"/>
    <w:rsid w:val="004D1F05"/>
    <w:rsid w:val="004D20B7"/>
    <w:rsid w:val="004D2208"/>
    <w:rsid w:val="004D2416"/>
    <w:rsid w:val="004D261E"/>
    <w:rsid w:val="004D2A74"/>
    <w:rsid w:val="004D2C10"/>
    <w:rsid w:val="004D2D34"/>
    <w:rsid w:val="004D306F"/>
    <w:rsid w:val="004D339B"/>
    <w:rsid w:val="004D3680"/>
    <w:rsid w:val="004D39C2"/>
    <w:rsid w:val="004D39FB"/>
    <w:rsid w:val="004D419D"/>
    <w:rsid w:val="004D41D1"/>
    <w:rsid w:val="004D46C9"/>
    <w:rsid w:val="004D4A02"/>
    <w:rsid w:val="004D5379"/>
    <w:rsid w:val="004D5511"/>
    <w:rsid w:val="004D5B64"/>
    <w:rsid w:val="004D5FDB"/>
    <w:rsid w:val="004D6BDC"/>
    <w:rsid w:val="004D70CC"/>
    <w:rsid w:val="004D77DD"/>
    <w:rsid w:val="004D7D0C"/>
    <w:rsid w:val="004E0344"/>
    <w:rsid w:val="004E0554"/>
    <w:rsid w:val="004E055A"/>
    <w:rsid w:val="004E0824"/>
    <w:rsid w:val="004E0F52"/>
    <w:rsid w:val="004E10DA"/>
    <w:rsid w:val="004E19C3"/>
    <w:rsid w:val="004E1AA1"/>
    <w:rsid w:val="004E1C6B"/>
    <w:rsid w:val="004E1D7C"/>
    <w:rsid w:val="004E2D77"/>
    <w:rsid w:val="004E3555"/>
    <w:rsid w:val="004E425B"/>
    <w:rsid w:val="004E43BC"/>
    <w:rsid w:val="004E4D30"/>
    <w:rsid w:val="004E4E7A"/>
    <w:rsid w:val="004E56A1"/>
    <w:rsid w:val="004E5CA2"/>
    <w:rsid w:val="004E5F77"/>
    <w:rsid w:val="004E60AF"/>
    <w:rsid w:val="004E6E17"/>
    <w:rsid w:val="004E732A"/>
    <w:rsid w:val="004E7CC2"/>
    <w:rsid w:val="004F0676"/>
    <w:rsid w:val="004F0941"/>
    <w:rsid w:val="004F0D49"/>
    <w:rsid w:val="004F16DD"/>
    <w:rsid w:val="004F18DC"/>
    <w:rsid w:val="004F195E"/>
    <w:rsid w:val="004F1CC5"/>
    <w:rsid w:val="004F2794"/>
    <w:rsid w:val="004F39ED"/>
    <w:rsid w:val="004F3B35"/>
    <w:rsid w:val="004F4856"/>
    <w:rsid w:val="004F4C5E"/>
    <w:rsid w:val="004F4EA5"/>
    <w:rsid w:val="004F50A5"/>
    <w:rsid w:val="004F6442"/>
    <w:rsid w:val="004F65B2"/>
    <w:rsid w:val="004F6810"/>
    <w:rsid w:val="004F6A70"/>
    <w:rsid w:val="004F6BC5"/>
    <w:rsid w:val="004F6F28"/>
    <w:rsid w:val="004F7300"/>
    <w:rsid w:val="004F778F"/>
    <w:rsid w:val="004F7A05"/>
    <w:rsid w:val="00500002"/>
    <w:rsid w:val="0050131B"/>
    <w:rsid w:val="0050146E"/>
    <w:rsid w:val="00501D39"/>
    <w:rsid w:val="00501FAF"/>
    <w:rsid w:val="0050279F"/>
    <w:rsid w:val="00502869"/>
    <w:rsid w:val="00504C57"/>
    <w:rsid w:val="00504F34"/>
    <w:rsid w:val="00504FB8"/>
    <w:rsid w:val="0050592B"/>
    <w:rsid w:val="00505971"/>
    <w:rsid w:val="00505AA0"/>
    <w:rsid w:val="00505DC1"/>
    <w:rsid w:val="005062E0"/>
    <w:rsid w:val="00506797"/>
    <w:rsid w:val="0050680E"/>
    <w:rsid w:val="0050683F"/>
    <w:rsid w:val="00506E8A"/>
    <w:rsid w:val="005071E2"/>
    <w:rsid w:val="005077F2"/>
    <w:rsid w:val="005078F9"/>
    <w:rsid w:val="00507D50"/>
    <w:rsid w:val="005100D9"/>
    <w:rsid w:val="005102BC"/>
    <w:rsid w:val="00510781"/>
    <w:rsid w:val="0051093A"/>
    <w:rsid w:val="005110E9"/>
    <w:rsid w:val="005118A7"/>
    <w:rsid w:val="00511D74"/>
    <w:rsid w:val="00511DEA"/>
    <w:rsid w:val="00512AE5"/>
    <w:rsid w:val="00513150"/>
    <w:rsid w:val="0051358D"/>
    <w:rsid w:val="005137FF"/>
    <w:rsid w:val="0051412F"/>
    <w:rsid w:val="0051422F"/>
    <w:rsid w:val="00514468"/>
    <w:rsid w:val="00514475"/>
    <w:rsid w:val="00514BC3"/>
    <w:rsid w:val="00515039"/>
    <w:rsid w:val="00515075"/>
    <w:rsid w:val="005150DE"/>
    <w:rsid w:val="005157A2"/>
    <w:rsid w:val="005160E0"/>
    <w:rsid w:val="00516A9B"/>
    <w:rsid w:val="00516DCA"/>
    <w:rsid w:val="0051787C"/>
    <w:rsid w:val="00517C5B"/>
    <w:rsid w:val="00517D36"/>
    <w:rsid w:val="0052047D"/>
    <w:rsid w:val="00520D49"/>
    <w:rsid w:val="00520F2F"/>
    <w:rsid w:val="005214F1"/>
    <w:rsid w:val="00521531"/>
    <w:rsid w:val="00521892"/>
    <w:rsid w:val="005225A2"/>
    <w:rsid w:val="005225A5"/>
    <w:rsid w:val="005228A3"/>
    <w:rsid w:val="005228F3"/>
    <w:rsid w:val="00522944"/>
    <w:rsid w:val="00522A50"/>
    <w:rsid w:val="00522A5B"/>
    <w:rsid w:val="00522AD3"/>
    <w:rsid w:val="00523BDA"/>
    <w:rsid w:val="00523E8C"/>
    <w:rsid w:val="00523EFD"/>
    <w:rsid w:val="00524B2F"/>
    <w:rsid w:val="005250F7"/>
    <w:rsid w:val="00525703"/>
    <w:rsid w:val="00525784"/>
    <w:rsid w:val="00525858"/>
    <w:rsid w:val="00525BE0"/>
    <w:rsid w:val="00525F79"/>
    <w:rsid w:val="0052619F"/>
    <w:rsid w:val="005265D2"/>
    <w:rsid w:val="00526938"/>
    <w:rsid w:val="00526CF4"/>
    <w:rsid w:val="00527343"/>
    <w:rsid w:val="0052754C"/>
    <w:rsid w:val="00527CE6"/>
    <w:rsid w:val="00527D2F"/>
    <w:rsid w:val="00527EE3"/>
    <w:rsid w:val="00527F16"/>
    <w:rsid w:val="00530073"/>
    <w:rsid w:val="00530210"/>
    <w:rsid w:val="005306DF"/>
    <w:rsid w:val="00531438"/>
    <w:rsid w:val="00531697"/>
    <w:rsid w:val="0053170C"/>
    <w:rsid w:val="0053197A"/>
    <w:rsid w:val="005319ED"/>
    <w:rsid w:val="00531B9F"/>
    <w:rsid w:val="00532440"/>
    <w:rsid w:val="0053275B"/>
    <w:rsid w:val="00532806"/>
    <w:rsid w:val="00532C66"/>
    <w:rsid w:val="00532DE0"/>
    <w:rsid w:val="00533009"/>
    <w:rsid w:val="00533186"/>
    <w:rsid w:val="00533343"/>
    <w:rsid w:val="00533409"/>
    <w:rsid w:val="005339B2"/>
    <w:rsid w:val="00533A6E"/>
    <w:rsid w:val="00533A98"/>
    <w:rsid w:val="00533AD7"/>
    <w:rsid w:val="00533C2C"/>
    <w:rsid w:val="00533D51"/>
    <w:rsid w:val="005340C4"/>
    <w:rsid w:val="005341FA"/>
    <w:rsid w:val="005342FB"/>
    <w:rsid w:val="005355C2"/>
    <w:rsid w:val="00536F4F"/>
    <w:rsid w:val="00537679"/>
    <w:rsid w:val="00537A76"/>
    <w:rsid w:val="00537BF9"/>
    <w:rsid w:val="00540288"/>
    <w:rsid w:val="00540437"/>
    <w:rsid w:val="00540AA2"/>
    <w:rsid w:val="00542231"/>
    <w:rsid w:val="005424D2"/>
    <w:rsid w:val="0054273C"/>
    <w:rsid w:val="005430D7"/>
    <w:rsid w:val="00543707"/>
    <w:rsid w:val="00544705"/>
    <w:rsid w:val="00546110"/>
    <w:rsid w:val="0054636A"/>
    <w:rsid w:val="005463A2"/>
    <w:rsid w:val="00546DDB"/>
    <w:rsid w:val="00547343"/>
    <w:rsid w:val="005477D7"/>
    <w:rsid w:val="0054784A"/>
    <w:rsid w:val="00547935"/>
    <w:rsid w:val="00547C57"/>
    <w:rsid w:val="00547CB4"/>
    <w:rsid w:val="00547EC0"/>
    <w:rsid w:val="0055109F"/>
    <w:rsid w:val="00552996"/>
    <w:rsid w:val="00552D9B"/>
    <w:rsid w:val="00552DCB"/>
    <w:rsid w:val="0055321F"/>
    <w:rsid w:val="005532D2"/>
    <w:rsid w:val="005538D1"/>
    <w:rsid w:val="00553AF5"/>
    <w:rsid w:val="00553CB9"/>
    <w:rsid w:val="00553DF9"/>
    <w:rsid w:val="00553E36"/>
    <w:rsid w:val="00554032"/>
    <w:rsid w:val="00554132"/>
    <w:rsid w:val="00554475"/>
    <w:rsid w:val="005545C8"/>
    <w:rsid w:val="00554B85"/>
    <w:rsid w:val="00554D6E"/>
    <w:rsid w:val="00554DB2"/>
    <w:rsid w:val="005558A4"/>
    <w:rsid w:val="00555908"/>
    <w:rsid w:val="00555D4F"/>
    <w:rsid w:val="005564AB"/>
    <w:rsid w:val="00556CB4"/>
    <w:rsid w:val="00557048"/>
    <w:rsid w:val="005574A3"/>
    <w:rsid w:val="00557A6D"/>
    <w:rsid w:val="00557B06"/>
    <w:rsid w:val="00557CC0"/>
    <w:rsid w:val="0056012C"/>
    <w:rsid w:val="00560496"/>
    <w:rsid w:val="00560BF1"/>
    <w:rsid w:val="00561395"/>
    <w:rsid w:val="00561545"/>
    <w:rsid w:val="0056175D"/>
    <w:rsid w:val="00561835"/>
    <w:rsid w:val="00561E83"/>
    <w:rsid w:val="005624C8"/>
    <w:rsid w:val="0056296D"/>
    <w:rsid w:val="00562A43"/>
    <w:rsid w:val="00562CAA"/>
    <w:rsid w:val="00563288"/>
    <w:rsid w:val="005634AD"/>
    <w:rsid w:val="00563EFA"/>
    <w:rsid w:val="00563F57"/>
    <w:rsid w:val="00563F92"/>
    <w:rsid w:val="00563FC7"/>
    <w:rsid w:val="0056407F"/>
    <w:rsid w:val="005647C0"/>
    <w:rsid w:val="0056489C"/>
    <w:rsid w:val="00564F0F"/>
    <w:rsid w:val="00565AC8"/>
    <w:rsid w:val="00565B09"/>
    <w:rsid w:val="00565D0D"/>
    <w:rsid w:val="005660E7"/>
    <w:rsid w:val="005663CB"/>
    <w:rsid w:val="005664AA"/>
    <w:rsid w:val="00566C01"/>
    <w:rsid w:val="00566C81"/>
    <w:rsid w:val="00566D10"/>
    <w:rsid w:val="00566D2F"/>
    <w:rsid w:val="0056796E"/>
    <w:rsid w:val="005700DC"/>
    <w:rsid w:val="00570BC9"/>
    <w:rsid w:val="00571087"/>
    <w:rsid w:val="00571A92"/>
    <w:rsid w:val="00572044"/>
    <w:rsid w:val="0057219F"/>
    <w:rsid w:val="00572393"/>
    <w:rsid w:val="00572E44"/>
    <w:rsid w:val="00572F80"/>
    <w:rsid w:val="00573051"/>
    <w:rsid w:val="00573054"/>
    <w:rsid w:val="00573B0C"/>
    <w:rsid w:val="00573E6C"/>
    <w:rsid w:val="00573EBD"/>
    <w:rsid w:val="00574AC6"/>
    <w:rsid w:val="00574B4C"/>
    <w:rsid w:val="00574EE6"/>
    <w:rsid w:val="005758C4"/>
    <w:rsid w:val="00575B16"/>
    <w:rsid w:val="00575D16"/>
    <w:rsid w:val="0057635F"/>
    <w:rsid w:val="005764B5"/>
    <w:rsid w:val="005764E9"/>
    <w:rsid w:val="005764FC"/>
    <w:rsid w:val="00576E52"/>
    <w:rsid w:val="0057701E"/>
    <w:rsid w:val="00577666"/>
    <w:rsid w:val="00577684"/>
    <w:rsid w:val="005778A9"/>
    <w:rsid w:val="005802EE"/>
    <w:rsid w:val="00580722"/>
    <w:rsid w:val="00580C10"/>
    <w:rsid w:val="00581089"/>
    <w:rsid w:val="005812BE"/>
    <w:rsid w:val="00581603"/>
    <w:rsid w:val="00581F20"/>
    <w:rsid w:val="005820AB"/>
    <w:rsid w:val="0058238D"/>
    <w:rsid w:val="0058244C"/>
    <w:rsid w:val="005824F9"/>
    <w:rsid w:val="0058255F"/>
    <w:rsid w:val="005825A4"/>
    <w:rsid w:val="00582B07"/>
    <w:rsid w:val="00582C04"/>
    <w:rsid w:val="00582C79"/>
    <w:rsid w:val="00582D2D"/>
    <w:rsid w:val="00582F6F"/>
    <w:rsid w:val="00583855"/>
    <w:rsid w:val="005838DE"/>
    <w:rsid w:val="0058402B"/>
    <w:rsid w:val="005843E3"/>
    <w:rsid w:val="00584BA2"/>
    <w:rsid w:val="00584CA9"/>
    <w:rsid w:val="00584D82"/>
    <w:rsid w:val="00584F9A"/>
    <w:rsid w:val="00585118"/>
    <w:rsid w:val="0058578D"/>
    <w:rsid w:val="00585933"/>
    <w:rsid w:val="005862E8"/>
    <w:rsid w:val="00586B52"/>
    <w:rsid w:val="00587128"/>
    <w:rsid w:val="005876AF"/>
    <w:rsid w:val="005878FE"/>
    <w:rsid w:val="0058799E"/>
    <w:rsid w:val="00590178"/>
    <w:rsid w:val="0059048E"/>
    <w:rsid w:val="00590943"/>
    <w:rsid w:val="00590AA1"/>
    <w:rsid w:val="00590CBD"/>
    <w:rsid w:val="00590DE7"/>
    <w:rsid w:val="00591155"/>
    <w:rsid w:val="00591184"/>
    <w:rsid w:val="00591BF0"/>
    <w:rsid w:val="00591C8B"/>
    <w:rsid w:val="00592513"/>
    <w:rsid w:val="00592B1C"/>
    <w:rsid w:val="00592B85"/>
    <w:rsid w:val="00592D9F"/>
    <w:rsid w:val="00592FBB"/>
    <w:rsid w:val="005936E1"/>
    <w:rsid w:val="00593B1D"/>
    <w:rsid w:val="00595E5E"/>
    <w:rsid w:val="005962ED"/>
    <w:rsid w:val="005969ED"/>
    <w:rsid w:val="005969FA"/>
    <w:rsid w:val="00597050"/>
    <w:rsid w:val="00597551"/>
    <w:rsid w:val="0059762E"/>
    <w:rsid w:val="0059763D"/>
    <w:rsid w:val="00597933"/>
    <w:rsid w:val="00597FAF"/>
    <w:rsid w:val="005A0213"/>
    <w:rsid w:val="005A082B"/>
    <w:rsid w:val="005A0E7C"/>
    <w:rsid w:val="005A1F2D"/>
    <w:rsid w:val="005A201E"/>
    <w:rsid w:val="005A2497"/>
    <w:rsid w:val="005A2647"/>
    <w:rsid w:val="005A27FA"/>
    <w:rsid w:val="005A2D5D"/>
    <w:rsid w:val="005A35CB"/>
    <w:rsid w:val="005A3DA0"/>
    <w:rsid w:val="005A3E15"/>
    <w:rsid w:val="005A3F13"/>
    <w:rsid w:val="005A41A4"/>
    <w:rsid w:val="005A427D"/>
    <w:rsid w:val="005A42EE"/>
    <w:rsid w:val="005A649C"/>
    <w:rsid w:val="005A656C"/>
    <w:rsid w:val="005A65FD"/>
    <w:rsid w:val="005A6DD7"/>
    <w:rsid w:val="005A7A9A"/>
    <w:rsid w:val="005A7DDE"/>
    <w:rsid w:val="005B002A"/>
    <w:rsid w:val="005B01D8"/>
    <w:rsid w:val="005B0779"/>
    <w:rsid w:val="005B08B7"/>
    <w:rsid w:val="005B0A1C"/>
    <w:rsid w:val="005B0E0E"/>
    <w:rsid w:val="005B0E23"/>
    <w:rsid w:val="005B0EB5"/>
    <w:rsid w:val="005B1665"/>
    <w:rsid w:val="005B198F"/>
    <w:rsid w:val="005B34F2"/>
    <w:rsid w:val="005B425D"/>
    <w:rsid w:val="005B4996"/>
    <w:rsid w:val="005B52C5"/>
    <w:rsid w:val="005B58E2"/>
    <w:rsid w:val="005B5B2B"/>
    <w:rsid w:val="005B5E6F"/>
    <w:rsid w:val="005B68E2"/>
    <w:rsid w:val="005B6EA0"/>
    <w:rsid w:val="005B785F"/>
    <w:rsid w:val="005B78C8"/>
    <w:rsid w:val="005B79BD"/>
    <w:rsid w:val="005C0625"/>
    <w:rsid w:val="005C0B3F"/>
    <w:rsid w:val="005C1239"/>
    <w:rsid w:val="005C1454"/>
    <w:rsid w:val="005C1709"/>
    <w:rsid w:val="005C2115"/>
    <w:rsid w:val="005C2387"/>
    <w:rsid w:val="005C2873"/>
    <w:rsid w:val="005C2F51"/>
    <w:rsid w:val="005C322F"/>
    <w:rsid w:val="005C3797"/>
    <w:rsid w:val="005C38AB"/>
    <w:rsid w:val="005C3B6C"/>
    <w:rsid w:val="005C3E03"/>
    <w:rsid w:val="005C4DBB"/>
    <w:rsid w:val="005C6111"/>
    <w:rsid w:val="005C638D"/>
    <w:rsid w:val="005C6513"/>
    <w:rsid w:val="005C6768"/>
    <w:rsid w:val="005C6A24"/>
    <w:rsid w:val="005C722B"/>
    <w:rsid w:val="005D00B0"/>
    <w:rsid w:val="005D01A7"/>
    <w:rsid w:val="005D03A1"/>
    <w:rsid w:val="005D1CC4"/>
    <w:rsid w:val="005D1F05"/>
    <w:rsid w:val="005D262E"/>
    <w:rsid w:val="005D3511"/>
    <w:rsid w:val="005D4419"/>
    <w:rsid w:val="005D4498"/>
    <w:rsid w:val="005D4672"/>
    <w:rsid w:val="005D4A09"/>
    <w:rsid w:val="005D4BBC"/>
    <w:rsid w:val="005D55AD"/>
    <w:rsid w:val="005D58EB"/>
    <w:rsid w:val="005D607F"/>
    <w:rsid w:val="005D6088"/>
    <w:rsid w:val="005D6A65"/>
    <w:rsid w:val="005D6DF6"/>
    <w:rsid w:val="005D7023"/>
    <w:rsid w:val="005D7595"/>
    <w:rsid w:val="005D77C6"/>
    <w:rsid w:val="005D791F"/>
    <w:rsid w:val="005D7C4E"/>
    <w:rsid w:val="005D7CC9"/>
    <w:rsid w:val="005D7D1B"/>
    <w:rsid w:val="005D7FE1"/>
    <w:rsid w:val="005E00AE"/>
    <w:rsid w:val="005E0886"/>
    <w:rsid w:val="005E0F4A"/>
    <w:rsid w:val="005E1681"/>
    <w:rsid w:val="005E2179"/>
    <w:rsid w:val="005E2CF1"/>
    <w:rsid w:val="005E30C8"/>
    <w:rsid w:val="005E348E"/>
    <w:rsid w:val="005E3F0A"/>
    <w:rsid w:val="005E4F28"/>
    <w:rsid w:val="005E5299"/>
    <w:rsid w:val="005E5B34"/>
    <w:rsid w:val="005E647A"/>
    <w:rsid w:val="005E65D5"/>
    <w:rsid w:val="005E6ABC"/>
    <w:rsid w:val="005E75D6"/>
    <w:rsid w:val="005E794C"/>
    <w:rsid w:val="005F050F"/>
    <w:rsid w:val="005F0593"/>
    <w:rsid w:val="005F0942"/>
    <w:rsid w:val="005F0E22"/>
    <w:rsid w:val="005F1007"/>
    <w:rsid w:val="005F1087"/>
    <w:rsid w:val="005F113B"/>
    <w:rsid w:val="005F16F8"/>
    <w:rsid w:val="005F1DDD"/>
    <w:rsid w:val="005F2250"/>
    <w:rsid w:val="005F23CE"/>
    <w:rsid w:val="005F2603"/>
    <w:rsid w:val="005F2DDE"/>
    <w:rsid w:val="005F2E85"/>
    <w:rsid w:val="005F35FA"/>
    <w:rsid w:val="005F3A1E"/>
    <w:rsid w:val="005F3D3E"/>
    <w:rsid w:val="005F3F54"/>
    <w:rsid w:val="005F4A78"/>
    <w:rsid w:val="005F4D90"/>
    <w:rsid w:val="005F4E53"/>
    <w:rsid w:val="005F508D"/>
    <w:rsid w:val="005F5385"/>
    <w:rsid w:val="005F59A3"/>
    <w:rsid w:val="005F5BDF"/>
    <w:rsid w:val="005F5CEA"/>
    <w:rsid w:val="005F5EAA"/>
    <w:rsid w:val="005F61F0"/>
    <w:rsid w:val="005F68E1"/>
    <w:rsid w:val="005F6B04"/>
    <w:rsid w:val="005F6E8E"/>
    <w:rsid w:val="005F74F4"/>
    <w:rsid w:val="005F78D2"/>
    <w:rsid w:val="005F78FF"/>
    <w:rsid w:val="005F7A1B"/>
    <w:rsid w:val="005F7A93"/>
    <w:rsid w:val="005F7D9A"/>
    <w:rsid w:val="005F7F94"/>
    <w:rsid w:val="0060038E"/>
    <w:rsid w:val="00600576"/>
    <w:rsid w:val="00600657"/>
    <w:rsid w:val="00600C26"/>
    <w:rsid w:val="0060130B"/>
    <w:rsid w:val="0060187E"/>
    <w:rsid w:val="00601B99"/>
    <w:rsid w:val="00601C9C"/>
    <w:rsid w:val="0060227F"/>
    <w:rsid w:val="00602733"/>
    <w:rsid w:val="00602C1D"/>
    <w:rsid w:val="00602E5D"/>
    <w:rsid w:val="006033B6"/>
    <w:rsid w:val="0060379F"/>
    <w:rsid w:val="00603C64"/>
    <w:rsid w:val="0060542B"/>
    <w:rsid w:val="0060640E"/>
    <w:rsid w:val="00606D51"/>
    <w:rsid w:val="00606DDB"/>
    <w:rsid w:val="00606DE7"/>
    <w:rsid w:val="00607B4D"/>
    <w:rsid w:val="00607C5E"/>
    <w:rsid w:val="00610383"/>
    <w:rsid w:val="00610695"/>
    <w:rsid w:val="006108C7"/>
    <w:rsid w:val="00610932"/>
    <w:rsid w:val="00610D48"/>
    <w:rsid w:val="00610E3C"/>
    <w:rsid w:val="006110FD"/>
    <w:rsid w:val="006111D4"/>
    <w:rsid w:val="00611FB2"/>
    <w:rsid w:val="006120DE"/>
    <w:rsid w:val="00612530"/>
    <w:rsid w:val="0061276E"/>
    <w:rsid w:val="006129C4"/>
    <w:rsid w:val="00612C52"/>
    <w:rsid w:val="00612CEA"/>
    <w:rsid w:val="0061316D"/>
    <w:rsid w:val="00613EAC"/>
    <w:rsid w:val="00614A00"/>
    <w:rsid w:val="00614EA1"/>
    <w:rsid w:val="0061513B"/>
    <w:rsid w:val="00615156"/>
    <w:rsid w:val="00615627"/>
    <w:rsid w:val="006163B2"/>
    <w:rsid w:val="006164F2"/>
    <w:rsid w:val="00616C16"/>
    <w:rsid w:val="00617083"/>
    <w:rsid w:val="006171BD"/>
    <w:rsid w:val="00617768"/>
    <w:rsid w:val="006177B2"/>
    <w:rsid w:val="00617DAF"/>
    <w:rsid w:val="0062072C"/>
    <w:rsid w:val="0062114D"/>
    <w:rsid w:val="00621601"/>
    <w:rsid w:val="0062193A"/>
    <w:rsid w:val="006219A5"/>
    <w:rsid w:val="00621ECC"/>
    <w:rsid w:val="006220D6"/>
    <w:rsid w:val="006223B7"/>
    <w:rsid w:val="006225D8"/>
    <w:rsid w:val="006226C3"/>
    <w:rsid w:val="00622CFA"/>
    <w:rsid w:val="00622EAB"/>
    <w:rsid w:val="006231B9"/>
    <w:rsid w:val="006232CE"/>
    <w:rsid w:val="00623E4F"/>
    <w:rsid w:val="00623EDE"/>
    <w:rsid w:val="006241BB"/>
    <w:rsid w:val="00624BC2"/>
    <w:rsid w:val="00625067"/>
    <w:rsid w:val="00625F9C"/>
    <w:rsid w:val="006264EE"/>
    <w:rsid w:val="006267A3"/>
    <w:rsid w:val="00626873"/>
    <w:rsid w:val="006268BD"/>
    <w:rsid w:val="00626A9E"/>
    <w:rsid w:val="00626DA8"/>
    <w:rsid w:val="00626F38"/>
    <w:rsid w:val="00627331"/>
    <w:rsid w:val="00627595"/>
    <w:rsid w:val="00627DC7"/>
    <w:rsid w:val="00630702"/>
    <w:rsid w:val="00630A30"/>
    <w:rsid w:val="00630D52"/>
    <w:rsid w:val="0063135C"/>
    <w:rsid w:val="006319FF"/>
    <w:rsid w:val="00631ADC"/>
    <w:rsid w:val="00631BBD"/>
    <w:rsid w:val="00631C8D"/>
    <w:rsid w:val="006324F6"/>
    <w:rsid w:val="0063262E"/>
    <w:rsid w:val="0063297C"/>
    <w:rsid w:val="00632B75"/>
    <w:rsid w:val="00632FE9"/>
    <w:rsid w:val="00633063"/>
    <w:rsid w:val="00633134"/>
    <w:rsid w:val="00633314"/>
    <w:rsid w:val="00633316"/>
    <w:rsid w:val="00633BB5"/>
    <w:rsid w:val="00633C16"/>
    <w:rsid w:val="0063406E"/>
    <w:rsid w:val="00634364"/>
    <w:rsid w:val="00634E03"/>
    <w:rsid w:val="00634F65"/>
    <w:rsid w:val="00635312"/>
    <w:rsid w:val="0063575C"/>
    <w:rsid w:val="006362D3"/>
    <w:rsid w:val="00636BC6"/>
    <w:rsid w:val="00636D63"/>
    <w:rsid w:val="00637629"/>
    <w:rsid w:val="00637634"/>
    <w:rsid w:val="006376B4"/>
    <w:rsid w:val="006379A3"/>
    <w:rsid w:val="00637A4A"/>
    <w:rsid w:val="00637BE8"/>
    <w:rsid w:val="00637DD5"/>
    <w:rsid w:val="006401B3"/>
    <w:rsid w:val="0064059A"/>
    <w:rsid w:val="0064114D"/>
    <w:rsid w:val="0064116D"/>
    <w:rsid w:val="00641A29"/>
    <w:rsid w:val="00642620"/>
    <w:rsid w:val="00642D44"/>
    <w:rsid w:val="00642EEE"/>
    <w:rsid w:val="0064311E"/>
    <w:rsid w:val="00643143"/>
    <w:rsid w:val="006431B1"/>
    <w:rsid w:val="00643276"/>
    <w:rsid w:val="00643417"/>
    <w:rsid w:val="00643A95"/>
    <w:rsid w:val="00643DE9"/>
    <w:rsid w:val="00644271"/>
    <w:rsid w:val="006444C8"/>
    <w:rsid w:val="00644674"/>
    <w:rsid w:val="0064476B"/>
    <w:rsid w:val="00644984"/>
    <w:rsid w:val="00644D82"/>
    <w:rsid w:val="00644DE8"/>
    <w:rsid w:val="00645008"/>
    <w:rsid w:val="006452B4"/>
    <w:rsid w:val="0064550F"/>
    <w:rsid w:val="00645603"/>
    <w:rsid w:val="0064569F"/>
    <w:rsid w:val="00645768"/>
    <w:rsid w:val="0064650D"/>
    <w:rsid w:val="00646D74"/>
    <w:rsid w:val="00646ED6"/>
    <w:rsid w:val="00647594"/>
    <w:rsid w:val="006477E6"/>
    <w:rsid w:val="00650365"/>
    <w:rsid w:val="006510D1"/>
    <w:rsid w:val="00651511"/>
    <w:rsid w:val="0065161D"/>
    <w:rsid w:val="00651AB5"/>
    <w:rsid w:val="00651F05"/>
    <w:rsid w:val="006528BD"/>
    <w:rsid w:val="00652A8F"/>
    <w:rsid w:val="00652ECD"/>
    <w:rsid w:val="006533CF"/>
    <w:rsid w:val="00653955"/>
    <w:rsid w:val="00653AAE"/>
    <w:rsid w:val="00653D47"/>
    <w:rsid w:val="006543E9"/>
    <w:rsid w:val="00655391"/>
    <w:rsid w:val="006553FA"/>
    <w:rsid w:val="006555F4"/>
    <w:rsid w:val="00656155"/>
    <w:rsid w:val="006568BF"/>
    <w:rsid w:val="00656D9F"/>
    <w:rsid w:val="00656E09"/>
    <w:rsid w:val="00656F6C"/>
    <w:rsid w:val="0065774B"/>
    <w:rsid w:val="00657991"/>
    <w:rsid w:val="006579A1"/>
    <w:rsid w:val="00657BB7"/>
    <w:rsid w:val="00657C0A"/>
    <w:rsid w:val="00657EFF"/>
    <w:rsid w:val="006604FE"/>
    <w:rsid w:val="0066053A"/>
    <w:rsid w:val="00660949"/>
    <w:rsid w:val="00660C78"/>
    <w:rsid w:val="00660CC3"/>
    <w:rsid w:val="00661AAA"/>
    <w:rsid w:val="00661AF5"/>
    <w:rsid w:val="006620D8"/>
    <w:rsid w:val="006623E4"/>
    <w:rsid w:val="00662E92"/>
    <w:rsid w:val="0066382C"/>
    <w:rsid w:val="00663A6C"/>
    <w:rsid w:val="00663C69"/>
    <w:rsid w:val="006640FF"/>
    <w:rsid w:val="006643B8"/>
    <w:rsid w:val="00664653"/>
    <w:rsid w:val="006647FF"/>
    <w:rsid w:val="00665012"/>
    <w:rsid w:val="00665B88"/>
    <w:rsid w:val="00665BAE"/>
    <w:rsid w:val="00665DBE"/>
    <w:rsid w:val="0066614C"/>
    <w:rsid w:val="0066627B"/>
    <w:rsid w:val="00666939"/>
    <w:rsid w:val="00666DD8"/>
    <w:rsid w:val="00666F45"/>
    <w:rsid w:val="00667182"/>
    <w:rsid w:val="006672FC"/>
    <w:rsid w:val="0066792D"/>
    <w:rsid w:val="00667A2B"/>
    <w:rsid w:val="00670298"/>
    <w:rsid w:val="00670C70"/>
    <w:rsid w:val="00670E8B"/>
    <w:rsid w:val="00670FCB"/>
    <w:rsid w:val="0067101D"/>
    <w:rsid w:val="006723AF"/>
    <w:rsid w:val="00673343"/>
    <w:rsid w:val="00673515"/>
    <w:rsid w:val="006735FA"/>
    <w:rsid w:val="006737F0"/>
    <w:rsid w:val="006739E8"/>
    <w:rsid w:val="006743C0"/>
    <w:rsid w:val="00674B0D"/>
    <w:rsid w:val="00674D97"/>
    <w:rsid w:val="006752DB"/>
    <w:rsid w:val="00675589"/>
    <w:rsid w:val="0067571D"/>
    <w:rsid w:val="00675A1D"/>
    <w:rsid w:val="006761DC"/>
    <w:rsid w:val="00676555"/>
    <w:rsid w:val="00676906"/>
    <w:rsid w:val="00676A99"/>
    <w:rsid w:val="00677076"/>
    <w:rsid w:val="00677A71"/>
    <w:rsid w:val="00677A91"/>
    <w:rsid w:val="00677CB9"/>
    <w:rsid w:val="00680448"/>
    <w:rsid w:val="00680733"/>
    <w:rsid w:val="00681037"/>
    <w:rsid w:val="00681A8C"/>
    <w:rsid w:val="00681E54"/>
    <w:rsid w:val="0068266B"/>
    <w:rsid w:val="006830EC"/>
    <w:rsid w:val="006832B0"/>
    <w:rsid w:val="00683BBC"/>
    <w:rsid w:val="00683CA2"/>
    <w:rsid w:val="00683F84"/>
    <w:rsid w:val="00684629"/>
    <w:rsid w:val="00684B10"/>
    <w:rsid w:val="0068521D"/>
    <w:rsid w:val="006858B1"/>
    <w:rsid w:val="00686208"/>
    <w:rsid w:val="00686BB2"/>
    <w:rsid w:val="00686FDC"/>
    <w:rsid w:val="00687767"/>
    <w:rsid w:val="00687B44"/>
    <w:rsid w:val="00687C14"/>
    <w:rsid w:val="0069077E"/>
    <w:rsid w:val="00690E88"/>
    <w:rsid w:val="00691860"/>
    <w:rsid w:val="00692323"/>
    <w:rsid w:val="0069252F"/>
    <w:rsid w:val="00692F7C"/>
    <w:rsid w:val="00692FB6"/>
    <w:rsid w:val="00692FCA"/>
    <w:rsid w:val="00693128"/>
    <w:rsid w:val="00693EFD"/>
    <w:rsid w:val="00694783"/>
    <w:rsid w:val="006950F6"/>
    <w:rsid w:val="00695203"/>
    <w:rsid w:val="00695C9C"/>
    <w:rsid w:val="00696001"/>
    <w:rsid w:val="00696215"/>
    <w:rsid w:val="00696B7D"/>
    <w:rsid w:val="00696C71"/>
    <w:rsid w:val="00696EB2"/>
    <w:rsid w:val="006A02A0"/>
    <w:rsid w:val="006A0704"/>
    <w:rsid w:val="006A0844"/>
    <w:rsid w:val="006A0AC6"/>
    <w:rsid w:val="006A1435"/>
    <w:rsid w:val="006A1776"/>
    <w:rsid w:val="006A1AAD"/>
    <w:rsid w:val="006A1E39"/>
    <w:rsid w:val="006A216D"/>
    <w:rsid w:val="006A22E2"/>
    <w:rsid w:val="006A2354"/>
    <w:rsid w:val="006A24A3"/>
    <w:rsid w:val="006A3485"/>
    <w:rsid w:val="006A38FD"/>
    <w:rsid w:val="006A3A69"/>
    <w:rsid w:val="006A5393"/>
    <w:rsid w:val="006A54FC"/>
    <w:rsid w:val="006A5597"/>
    <w:rsid w:val="006A56DF"/>
    <w:rsid w:val="006A589D"/>
    <w:rsid w:val="006A598A"/>
    <w:rsid w:val="006A5C62"/>
    <w:rsid w:val="006A5C93"/>
    <w:rsid w:val="006A6A89"/>
    <w:rsid w:val="006A6C06"/>
    <w:rsid w:val="006A6E0D"/>
    <w:rsid w:val="006A7F79"/>
    <w:rsid w:val="006B042B"/>
    <w:rsid w:val="006B04E3"/>
    <w:rsid w:val="006B0B47"/>
    <w:rsid w:val="006B0D44"/>
    <w:rsid w:val="006B0E06"/>
    <w:rsid w:val="006B1372"/>
    <w:rsid w:val="006B1BED"/>
    <w:rsid w:val="006B1E16"/>
    <w:rsid w:val="006B2738"/>
    <w:rsid w:val="006B2750"/>
    <w:rsid w:val="006B2F1A"/>
    <w:rsid w:val="006B30C2"/>
    <w:rsid w:val="006B316F"/>
    <w:rsid w:val="006B3472"/>
    <w:rsid w:val="006B3914"/>
    <w:rsid w:val="006B3CCF"/>
    <w:rsid w:val="006B3D55"/>
    <w:rsid w:val="006B408F"/>
    <w:rsid w:val="006B4774"/>
    <w:rsid w:val="006B4B82"/>
    <w:rsid w:val="006B52F1"/>
    <w:rsid w:val="006B564A"/>
    <w:rsid w:val="006B5CA8"/>
    <w:rsid w:val="006B5DAA"/>
    <w:rsid w:val="006B639F"/>
    <w:rsid w:val="006B6B28"/>
    <w:rsid w:val="006B6D5D"/>
    <w:rsid w:val="006B75EA"/>
    <w:rsid w:val="006B7B53"/>
    <w:rsid w:val="006B7E47"/>
    <w:rsid w:val="006C01D9"/>
    <w:rsid w:val="006C07E7"/>
    <w:rsid w:val="006C083F"/>
    <w:rsid w:val="006C0985"/>
    <w:rsid w:val="006C194B"/>
    <w:rsid w:val="006C273C"/>
    <w:rsid w:val="006C29D3"/>
    <w:rsid w:val="006C2BEE"/>
    <w:rsid w:val="006C303C"/>
    <w:rsid w:val="006C3C96"/>
    <w:rsid w:val="006C3D1B"/>
    <w:rsid w:val="006C3DB6"/>
    <w:rsid w:val="006C3DB8"/>
    <w:rsid w:val="006C3E10"/>
    <w:rsid w:val="006C404B"/>
    <w:rsid w:val="006C452B"/>
    <w:rsid w:val="006C45EC"/>
    <w:rsid w:val="006C4847"/>
    <w:rsid w:val="006C4B1C"/>
    <w:rsid w:val="006C4BDD"/>
    <w:rsid w:val="006C4DFD"/>
    <w:rsid w:val="006C52F2"/>
    <w:rsid w:val="006C5BC6"/>
    <w:rsid w:val="006C5D05"/>
    <w:rsid w:val="006C6406"/>
    <w:rsid w:val="006C67DC"/>
    <w:rsid w:val="006C6BFA"/>
    <w:rsid w:val="006C7795"/>
    <w:rsid w:val="006C7E7E"/>
    <w:rsid w:val="006C7F5E"/>
    <w:rsid w:val="006D0169"/>
    <w:rsid w:val="006D03A9"/>
    <w:rsid w:val="006D065B"/>
    <w:rsid w:val="006D15B8"/>
    <w:rsid w:val="006D2328"/>
    <w:rsid w:val="006D2A9A"/>
    <w:rsid w:val="006D2C2B"/>
    <w:rsid w:val="006D2E1A"/>
    <w:rsid w:val="006D3CA9"/>
    <w:rsid w:val="006D3EE2"/>
    <w:rsid w:val="006D4285"/>
    <w:rsid w:val="006D442A"/>
    <w:rsid w:val="006D4441"/>
    <w:rsid w:val="006D5347"/>
    <w:rsid w:val="006D54A1"/>
    <w:rsid w:val="006D5BA5"/>
    <w:rsid w:val="006D5E91"/>
    <w:rsid w:val="006D67AA"/>
    <w:rsid w:val="006D6A51"/>
    <w:rsid w:val="006D7297"/>
    <w:rsid w:val="006D73B1"/>
    <w:rsid w:val="006D7CBF"/>
    <w:rsid w:val="006E0687"/>
    <w:rsid w:val="006E1802"/>
    <w:rsid w:val="006E19BC"/>
    <w:rsid w:val="006E1B61"/>
    <w:rsid w:val="006E1C00"/>
    <w:rsid w:val="006E1C5F"/>
    <w:rsid w:val="006E1E64"/>
    <w:rsid w:val="006E24B6"/>
    <w:rsid w:val="006E2B2F"/>
    <w:rsid w:val="006E2F33"/>
    <w:rsid w:val="006E343E"/>
    <w:rsid w:val="006E3555"/>
    <w:rsid w:val="006E3D4F"/>
    <w:rsid w:val="006E43D4"/>
    <w:rsid w:val="006E5027"/>
    <w:rsid w:val="006E539A"/>
    <w:rsid w:val="006E56C6"/>
    <w:rsid w:val="006E601D"/>
    <w:rsid w:val="006E61C4"/>
    <w:rsid w:val="006E6596"/>
    <w:rsid w:val="006E7F6B"/>
    <w:rsid w:val="006F00EA"/>
    <w:rsid w:val="006F0910"/>
    <w:rsid w:val="006F1259"/>
    <w:rsid w:val="006F1AB5"/>
    <w:rsid w:val="006F1D85"/>
    <w:rsid w:val="006F2056"/>
    <w:rsid w:val="006F26EC"/>
    <w:rsid w:val="006F2C13"/>
    <w:rsid w:val="006F301A"/>
    <w:rsid w:val="006F361A"/>
    <w:rsid w:val="006F3779"/>
    <w:rsid w:val="006F3EFE"/>
    <w:rsid w:val="006F46DC"/>
    <w:rsid w:val="006F49B8"/>
    <w:rsid w:val="006F4A6E"/>
    <w:rsid w:val="006F5554"/>
    <w:rsid w:val="006F58C1"/>
    <w:rsid w:val="006F5FB4"/>
    <w:rsid w:val="006F6259"/>
    <w:rsid w:val="006F69B7"/>
    <w:rsid w:val="006F6B93"/>
    <w:rsid w:val="006F7764"/>
    <w:rsid w:val="006F7DF1"/>
    <w:rsid w:val="0070046C"/>
    <w:rsid w:val="007006DA"/>
    <w:rsid w:val="00701072"/>
    <w:rsid w:val="00701253"/>
    <w:rsid w:val="0070172B"/>
    <w:rsid w:val="0070174F"/>
    <w:rsid w:val="00701F40"/>
    <w:rsid w:val="00702DDE"/>
    <w:rsid w:val="0070354F"/>
    <w:rsid w:val="0070399C"/>
    <w:rsid w:val="007040C3"/>
    <w:rsid w:val="00704479"/>
    <w:rsid w:val="00704FA8"/>
    <w:rsid w:val="00705349"/>
    <w:rsid w:val="00705650"/>
    <w:rsid w:val="00705EB4"/>
    <w:rsid w:val="0070611E"/>
    <w:rsid w:val="007067DD"/>
    <w:rsid w:val="007068BB"/>
    <w:rsid w:val="007069EF"/>
    <w:rsid w:val="007075F3"/>
    <w:rsid w:val="00707621"/>
    <w:rsid w:val="007078BB"/>
    <w:rsid w:val="00707B82"/>
    <w:rsid w:val="00707FEC"/>
    <w:rsid w:val="0071021D"/>
    <w:rsid w:val="007103B9"/>
    <w:rsid w:val="007103D0"/>
    <w:rsid w:val="007105F6"/>
    <w:rsid w:val="00710821"/>
    <w:rsid w:val="007108F5"/>
    <w:rsid w:val="00710BE7"/>
    <w:rsid w:val="00711568"/>
    <w:rsid w:val="0071163D"/>
    <w:rsid w:val="00712448"/>
    <w:rsid w:val="00712697"/>
    <w:rsid w:val="007126DC"/>
    <w:rsid w:val="00712E5A"/>
    <w:rsid w:val="00713480"/>
    <w:rsid w:val="007140D1"/>
    <w:rsid w:val="00714A97"/>
    <w:rsid w:val="00714D72"/>
    <w:rsid w:val="00714EED"/>
    <w:rsid w:val="00715C46"/>
    <w:rsid w:val="00715C6A"/>
    <w:rsid w:val="00717867"/>
    <w:rsid w:val="00720667"/>
    <w:rsid w:val="00720B4C"/>
    <w:rsid w:val="00720C77"/>
    <w:rsid w:val="007214FE"/>
    <w:rsid w:val="00721AA2"/>
    <w:rsid w:val="00721C51"/>
    <w:rsid w:val="00721D26"/>
    <w:rsid w:val="0072216A"/>
    <w:rsid w:val="0072258F"/>
    <w:rsid w:val="00722B80"/>
    <w:rsid w:val="00722F15"/>
    <w:rsid w:val="007233B0"/>
    <w:rsid w:val="007240BC"/>
    <w:rsid w:val="007241F1"/>
    <w:rsid w:val="00724449"/>
    <w:rsid w:val="00724A93"/>
    <w:rsid w:val="00724FF5"/>
    <w:rsid w:val="0072659C"/>
    <w:rsid w:val="00727295"/>
    <w:rsid w:val="0073019B"/>
    <w:rsid w:val="007301A9"/>
    <w:rsid w:val="007304DD"/>
    <w:rsid w:val="00730520"/>
    <w:rsid w:val="007309DA"/>
    <w:rsid w:val="0073269A"/>
    <w:rsid w:val="00732CA8"/>
    <w:rsid w:val="00732E65"/>
    <w:rsid w:val="007335DF"/>
    <w:rsid w:val="00733660"/>
    <w:rsid w:val="00733773"/>
    <w:rsid w:val="0073393E"/>
    <w:rsid w:val="0073397C"/>
    <w:rsid w:val="00733AB0"/>
    <w:rsid w:val="00733BEA"/>
    <w:rsid w:val="00734A37"/>
    <w:rsid w:val="00734C39"/>
    <w:rsid w:val="00734D1C"/>
    <w:rsid w:val="00734D2D"/>
    <w:rsid w:val="00734F3C"/>
    <w:rsid w:val="00735017"/>
    <w:rsid w:val="007354D1"/>
    <w:rsid w:val="007354DE"/>
    <w:rsid w:val="00735751"/>
    <w:rsid w:val="0073579D"/>
    <w:rsid w:val="00735CC9"/>
    <w:rsid w:val="00735FF0"/>
    <w:rsid w:val="0073644E"/>
    <w:rsid w:val="007365F5"/>
    <w:rsid w:val="00736725"/>
    <w:rsid w:val="00736731"/>
    <w:rsid w:val="00736A53"/>
    <w:rsid w:val="00736C4C"/>
    <w:rsid w:val="00737CA2"/>
    <w:rsid w:val="00737D0D"/>
    <w:rsid w:val="00740663"/>
    <w:rsid w:val="007408D3"/>
    <w:rsid w:val="007408DC"/>
    <w:rsid w:val="00740B37"/>
    <w:rsid w:val="00740DF3"/>
    <w:rsid w:val="00740E45"/>
    <w:rsid w:val="0074127A"/>
    <w:rsid w:val="00741EBE"/>
    <w:rsid w:val="0074212E"/>
    <w:rsid w:val="007426B0"/>
    <w:rsid w:val="00742A23"/>
    <w:rsid w:val="00742EBC"/>
    <w:rsid w:val="007431DB"/>
    <w:rsid w:val="00743BC1"/>
    <w:rsid w:val="0074486F"/>
    <w:rsid w:val="00744A95"/>
    <w:rsid w:val="007451D2"/>
    <w:rsid w:val="0074584D"/>
    <w:rsid w:val="00745FD3"/>
    <w:rsid w:val="00746359"/>
    <w:rsid w:val="00746730"/>
    <w:rsid w:val="00746951"/>
    <w:rsid w:val="00746972"/>
    <w:rsid w:val="0074697C"/>
    <w:rsid w:val="0074707B"/>
    <w:rsid w:val="0074767A"/>
    <w:rsid w:val="00750290"/>
    <w:rsid w:val="00750363"/>
    <w:rsid w:val="0075150F"/>
    <w:rsid w:val="007516B4"/>
    <w:rsid w:val="00752821"/>
    <w:rsid w:val="00752C70"/>
    <w:rsid w:val="00752F39"/>
    <w:rsid w:val="00753CAD"/>
    <w:rsid w:val="00754171"/>
    <w:rsid w:val="00755057"/>
    <w:rsid w:val="00755369"/>
    <w:rsid w:val="00755482"/>
    <w:rsid w:val="00755593"/>
    <w:rsid w:val="00755694"/>
    <w:rsid w:val="007562F2"/>
    <w:rsid w:val="00756612"/>
    <w:rsid w:val="0075665C"/>
    <w:rsid w:val="007568E7"/>
    <w:rsid w:val="00756EC0"/>
    <w:rsid w:val="007574B2"/>
    <w:rsid w:val="00757508"/>
    <w:rsid w:val="00757685"/>
    <w:rsid w:val="0075781E"/>
    <w:rsid w:val="00757D46"/>
    <w:rsid w:val="00757DE9"/>
    <w:rsid w:val="00757E1A"/>
    <w:rsid w:val="007606A9"/>
    <w:rsid w:val="007606C3"/>
    <w:rsid w:val="0076078F"/>
    <w:rsid w:val="00760CFC"/>
    <w:rsid w:val="00760D26"/>
    <w:rsid w:val="00760E36"/>
    <w:rsid w:val="007618DE"/>
    <w:rsid w:val="00761AE2"/>
    <w:rsid w:val="00761D87"/>
    <w:rsid w:val="00761EDB"/>
    <w:rsid w:val="0076252A"/>
    <w:rsid w:val="00762745"/>
    <w:rsid w:val="00762BDE"/>
    <w:rsid w:val="00762D89"/>
    <w:rsid w:val="00763219"/>
    <w:rsid w:val="00763223"/>
    <w:rsid w:val="00763C8D"/>
    <w:rsid w:val="0076404E"/>
    <w:rsid w:val="00764265"/>
    <w:rsid w:val="00764320"/>
    <w:rsid w:val="00764533"/>
    <w:rsid w:val="007648F3"/>
    <w:rsid w:val="00764E2A"/>
    <w:rsid w:val="00764E7E"/>
    <w:rsid w:val="007650C2"/>
    <w:rsid w:val="007656C3"/>
    <w:rsid w:val="0076575F"/>
    <w:rsid w:val="0076589A"/>
    <w:rsid w:val="00765B1A"/>
    <w:rsid w:val="007660FF"/>
    <w:rsid w:val="0076619A"/>
    <w:rsid w:val="00766868"/>
    <w:rsid w:val="007668E8"/>
    <w:rsid w:val="00766DA7"/>
    <w:rsid w:val="00766F98"/>
    <w:rsid w:val="007672BA"/>
    <w:rsid w:val="007672E3"/>
    <w:rsid w:val="00767346"/>
    <w:rsid w:val="00767675"/>
    <w:rsid w:val="007676CE"/>
    <w:rsid w:val="007676E4"/>
    <w:rsid w:val="00767A4D"/>
    <w:rsid w:val="007701FE"/>
    <w:rsid w:val="00770377"/>
    <w:rsid w:val="00770725"/>
    <w:rsid w:val="00770806"/>
    <w:rsid w:val="007714F7"/>
    <w:rsid w:val="007715FE"/>
    <w:rsid w:val="00771C26"/>
    <w:rsid w:val="0077260A"/>
    <w:rsid w:val="00772722"/>
    <w:rsid w:val="00772969"/>
    <w:rsid w:val="00772BC6"/>
    <w:rsid w:val="00772E35"/>
    <w:rsid w:val="00772F9C"/>
    <w:rsid w:val="007730A0"/>
    <w:rsid w:val="00773586"/>
    <w:rsid w:val="00773D1F"/>
    <w:rsid w:val="00774153"/>
    <w:rsid w:val="00774BB8"/>
    <w:rsid w:val="00774D50"/>
    <w:rsid w:val="00775190"/>
    <w:rsid w:val="00775990"/>
    <w:rsid w:val="00775C86"/>
    <w:rsid w:val="007767D9"/>
    <w:rsid w:val="007771CC"/>
    <w:rsid w:val="00777BDF"/>
    <w:rsid w:val="00777C78"/>
    <w:rsid w:val="00777E6E"/>
    <w:rsid w:val="007806FB"/>
    <w:rsid w:val="007807E7"/>
    <w:rsid w:val="007810B0"/>
    <w:rsid w:val="007811FE"/>
    <w:rsid w:val="0078120A"/>
    <w:rsid w:val="00781517"/>
    <w:rsid w:val="0078167F"/>
    <w:rsid w:val="007817F0"/>
    <w:rsid w:val="00781AB4"/>
    <w:rsid w:val="00781BDB"/>
    <w:rsid w:val="00781F7F"/>
    <w:rsid w:val="0078210F"/>
    <w:rsid w:val="00782AD3"/>
    <w:rsid w:val="007834EE"/>
    <w:rsid w:val="00783FDD"/>
    <w:rsid w:val="00784143"/>
    <w:rsid w:val="00784761"/>
    <w:rsid w:val="007847AD"/>
    <w:rsid w:val="00784CE5"/>
    <w:rsid w:val="00784E29"/>
    <w:rsid w:val="00784E9D"/>
    <w:rsid w:val="0078556C"/>
    <w:rsid w:val="007857AF"/>
    <w:rsid w:val="00785A1B"/>
    <w:rsid w:val="00785AEE"/>
    <w:rsid w:val="00785CF6"/>
    <w:rsid w:val="00785E20"/>
    <w:rsid w:val="00785F1A"/>
    <w:rsid w:val="0078624B"/>
    <w:rsid w:val="007865BB"/>
    <w:rsid w:val="00786752"/>
    <w:rsid w:val="00786764"/>
    <w:rsid w:val="0078697F"/>
    <w:rsid w:val="00786D65"/>
    <w:rsid w:val="00787334"/>
    <w:rsid w:val="007877F3"/>
    <w:rsid w:val="00787C70"/>
    <w:rsid w:val="007900D5"/>
    <w:rsid w:val="007902EA"/>
    <w:rsid w:val="00790615"/>
    <w:rsid w:val="00790815"/>
    <w:rsid w:val="0079096A"/>
    <w:rsid w:val="00790BCB"/>
    <w:rsid w:val="007913D9"/>
    <w:rsid w:val="0079141A"/>
    <w:rsid w:val="007914E5"/>
    <w:rsid w:val="007915AE"/>
    <w:rsid w:val="00791B76"/>
    <w:rsid w:val="00791C9A"/>
    <w:rsid w:val="00793B23"/>
    <w:rsid w:val="00793F29"/>
    <w:rsid w:val="00794321"/>
    <w:rsid w:val="00794C84"/>
    <w:rsid w:val="00794D04"/>
    <w:rsid w:val="00794D8A"/>
    <w:rsid w:val="00795745"/>
    <w:rsid w:val="007958B5"/>
    <w:rsid w:val="00795968"/>
    <w:rsid w:val="00795AEC"/>
    <w:rsid w:val="007962ED"/>
    <w:rsid w:val="00796636"/>
    <w:rsid w:val="00796978"/>
    <w:rsid w:val="007969BD"/>
    <w:rsid w:val="007977BA"/>
    <w:rsid w:val="00797BA1"/>
    <w:rsid w:val="00797F4E"/>
    <w:rsid w:val="007A05F8"/>
    <w:rsid w:val="007A079A"/>
    <w:rsid w:val="007A0A7B"/>
    <w:rsid w:val="007A0C42"/>
    <w:rsid w:val="007A195D"/>
    <w:rsid w:val="007A220B"/>
    <w:rsid w:val="007A26D9"/>
    <w:rsid w:val="007A354F"/>
    <w:rsid w:val="007A4159"/>
    <w:rsid w:val="007A4F4F"/>
    <w:rsid w:val="007A5BFE"/>
    <w:rsid w:val="007A64F0"/>
    <w:rsid w:val="007A6D55"/>
    <w:rsid w:val="007A7696"/>
    <w:rsid w:val="007A788B"/>
    <w:rsid w:val="007A7C65"/>
    <w:rsid w:val="007A7ECB"/>
    <w:rsid w:val="007B055E"/>
    <w:rsid w:val="007B0775"/>
    <w:rsid w:val="007B0BB3"/>
    <w:rsid w:val="007B0C2C"/>
    <w:rsid w:val="007B0DC4"/>
    <w:rsid w:val="007B0F10"/>
    <w:rsid w:val="007B18B8"/>
    <w:rsid w:val="007B18C0"/>
    <w:rsid w:val="007B260F"/>
    <w:rsid w:val="007B369D"/>
    <w:rsid w:val="007B38FD"/>
    <w:rsid w:val="007B3A39"/>
    <w:rsid w:val="007B4084"/>
    <w:rsid w:val="007B448B"/>
    <w:rsid w:val="007B4800"/>
    <w:rsid w:val="007B485F"/>
    <w:rsid w:val="007B5811"/>
    <w:rsid w:val="007B5BAA"/>
    <w:rsid w:val="007B610E"/>
    <w:rsid w:val="007B614D"/>
    <w:rsid w:val="007B61CD"/>
    <w:rsid w:val="007B6387"/>
    <w:rsid w:val="007B6889"/>
    <w:rsid w:val="007B6D36"/>
    <w:rsid w:val="007B71E2"/>
    <w:rsid w:val="007B7467"/>
    <w:rsid w:val="007B7570"/>
    <w:rsid w:val="007B792F"/>
    <w:rsid w:val="007B7940"/>
    <w:rsid w:val="007B79AE"/>
    <w:rsid w:val="007B7B4F"/>
    <w:rsid w:val="007C023E"/>
    <w:rsid w:val="007C044E"/>
    <w:rsid w:val="007C076C"/>
    <w:rsid w:val="007C093D"/>
    <w:rsid w:val="007C0BE9"/>
    <w:rsid w:val="007C0C40"/>
    <w:rsid w:val="007C0C76"/>
    <w:rsid w:val="007C0EF9"/>
    <w:rsid w:val="007C16DB"/>
    <w:rsid w:val="007C1FD6"/>
    <w:rsid w:val="007C27E3"/>
    <w:rsid w:val="007C2AC3"/>
    <w:rsid w:val="007C30C4"/>
    <w:rsid w:val="007C3859"/>
    <w:rsid w:val="007C3E53"/>
    <w:rsid w:val="007C40B6"/>
    <w:rsid w:val="007C4495"/>
    <w:rsid w:val="007C484B"/>
    <w:rsid w:val="007C5977"/>
    <w:rsid w:val="007C5C8C"/>
    <w:rsid w:val="007C611B"/>
    <w:rsid w:val="007C680A"/>
    <w:rsid w:val="007C6B70"/>
    <w:rsid w:val="007C6F29"/>
    <w:rsid w:val="007C7423"/>
    <w:rsid w:val="007C77F6"/>
    <w:rsid w:val="007D002E"/>
    <w:rsid w:val="007D0985"/>
    <w:rsid w:val="007D0D04"/>
    <w:rsid w:val="007D0F75"/>
    <w:rsid w:val="007D1EF0"/>
    <w:rsid w:val="007D284F"/>
    <w:rsid w:val="007D28C5"/>
    <w:rsid w:val="007D298C"/>
    <w:rsid w:val="007D34CF"/>
    <w:rsid w:val="007D3894"/>
    <w:rsid w:val="007D4581"/>
    <w:rsid w:val="007D45F9"/>
    <w:rsid w:val="007D4C92"/>
    <w:rsid w:val="007D4EE5"/>
    <w:rsid w:val="007D4F13"/>
    <w:rsid w:val="007D51A8"/>
    <w:rsid w:val="007D538D"/>
    <w:rsid w:val="007D54F2"/>
    <w:rsid w:val="007D65B1"/>
    <w:rsid w:val="007D6BBB"/>
    <w:rsid w:val="007D6F79"/>
    <w:rsid w:val="007D77B8"/>
    <w:rsid w:val="007D7915"/>
    <w:rsid w:val="007E01FA"/>
    <w:rsid w:val="007E1356"/>
    <w:rsid w:val="007E1CEC"/>
    <w:rsid w:val="007E1E53"/>
    <w:rsid w:val="007E2E3D"/>
    <w:rsid w:val="007E2E88"/>
    <w:rsid w:val="007E309E"/>
    <w:rsid w:val="007E313E"/>
    <w:rsid w:val="007E415F"/>
    <w:rsid w:val="007E4444"/>
    <w:rsid w:val="007E44BD"/>
    <w:rsid w:val="007E49CF"/>
    <w:rsid w:val="007E4CE1"/>
    <w:rsid w:val="007E5096"/>
    <w:rsid w:val="007E5789"/>
    <w:rsid w:val="007E57EB"/>
    <w:rsid w:val="007E5BA4"/>
    <w:rsid w:val="007E5D4F"/>
    <w:rsid w:val="007E5D5F"/>
    <w:rsid w:val="007E63CC"/>
    <w:rsid w:val="007E6A19"/>
    <w:rsid w:val="007E6F2D"/>
    <w:rsid w:val="007E7499"/>
    <w:rsid w:val="007E76F6"/>
    <w:rsid w:val="007E7802"/>
    <w:rsid w:val="007E7BE1"/>
    <w:rsid w:val="007F01E6"/>
    <w:rsid w:val="007F0405"/>
    <w:rsid w:val="007F0919"/>
    <w:rsid w:val="007F0D1E"/>
    <w:rsid w:val="007F10C9"/>
    <w:rsid w:val="007F10DC"/>
    <w:rsid w:val="007F123E"/>
    <w:rsid w:val="007F15DD"/>
    <w:rsid w:val="007F1AEF"/>
    <w:rsid w:val="007F23B4"/>
    <w:rsid w:val="007F2B95"/>
    <w:rsid w:val="007F3218"/>
    <w:rsid w:val="007F328A"/>
    <w:rsid w:val="007F34F6"/>
    <w:rsid w:val="007F3613"/>
    <w:rsid w:val="007F3E9B"/>
    <w:rsid w:val="007F400E"/>
    <w:rsid w:val="007F4107"/>
    <w:rsid w:val="007F439E"/>
    <w:rsid w:val="007F4505"/>
    <w:rsid w:val="007F455C"/>
    <w:rsid w:val="007F48FB"/>
    <w:rsid w:val="007F50A4"/>
    <w:rsid w:val="007F5738"/>
    <w:rsid w:val="007F581B"/>
    <w:rsid w:val="007F5E18"/>
    <w:rsid w:val="007F5E6F"/>
    <w:rsid w:val="007F66A1"/>
    <w:rsid w:val="007F6751"/>
    <w:rsid w:val="007F71A5"/>
    <w:rsid w:val="007F7735"/>
    <w:rsid w:val="007F78C8"/>
    <w:rsid w:val="00800185"/>
    <w:rsid w:val="008003E6"/>
    <w:rsid w:val="008005C5"/>
    <w:rsid w:val="008006B9"/>
    <w:rsid w:val="00800794"/>
    <w:rsid w:val="00800A39"/>
    <w:rsid w:val="00801224"/>
    <w:rsid w:val="00801383"/>
    <w:rsid w:val="0080270A"/>
    <w:rsid w:val="00804D10"/>
    <w:rsid w:val="0080575E"/>
    <w:rsid w:val="00805A8D"/>
    <w:rsid w:val="00805DFB"/>
    <w:rsid w:val="008060E4"/>
    <w:rsid w:val="00806305"/>
    <w:rsid w:val="00806349"/>
    <w:rsid w:val="0080725E"/>
    <w:rsid w:val="00807334"/>
    <w:rsid w:val="00807382"/>
    <w:rsid w:val="0080760B"/>
    <w:rsid w:val="0081017E"/>
    <w:rsid w:val="00810DC0"/>
    <w:rsid w:val="00811173"/>
    <w:rsid w:val="008113F5"/>
    <w:rsid w:val="008129BA"/>
    <w:rsid w:val="00812E45"/>
    <w:rsid w:val="00812EE3"/>
    <w:rsid w:val="00813944"/>
    <w:rsid w:val="0081394D"/>
    <w:rsid w:val="00813B8C"/>
    <w:rsid w:val="00814225"/>
    <w:rsid w:val="0081440D"/>
    <w:rsid w:val="00814D70"/>
    <w:rsid w:val="00815961"/>
    <w:rsid w:val="00815FD8"/>
    <w:rsid w:val="008162BE"/>
    <w:rsid w:val="00816770"/>
    <w:rsid w:val="0081734E"/>
    <w:rsid w:val="00817978"/>
    <w:rsid w:val="00817CD7"/>
    <w:rsid w:val="00820543"/>
    <w:rsid w:val="0082094A"/>
    <w:rsid w:val="00820D81"/>
    <w:rsid w:val="00821026"/>
    <w:rsid w:val="0082116F"/>
    <w:rsid w:val="008214D2"/>
    <w:rsid w:val="008218E1"/>
    <w:rsid w:val="00821BC6"/>
    <w:rsid w:val="00822251"/>
    <w:rsid w:val="00822814"/>
    <w:rsid w:val="00822A71"/>
    <w:rsid w:val="0082335B"/>
    <w:rsid w:val="00823AD1"/>
    <w:rsid w:val="00823BB6"/>
    <w:rsid w:val="00824663"/>
    <w:rsid w:val="00824780"/>
    <w:rsid w:val="00824AD1"/>
    <w:rsid w:val="00824D4A"/>
    <w:rsid w:val="008251E9"/>
    <w:rsid w:val="00825DBD"/>
    <w:rsid w:val="00825F3F"/>
    <w:rsid w:val="00826C68"/>
    <w:rsid w:val="00826D29"/>
    <w:rsid w:val="008278B7"/>
    <w:rsid w:val="00827E69"/>
    <w:rsid w:val="0083054D"/>
    <w:rsid w:val="00831333"/>
    <w:rsid w:val="0083146C"/>
    <w:rsid w:val="008318AA"/>
    <w:rsid w:val="00831A06"/>
    <w:rsid w:val="0083200C"/>
    <w:rsid w:val="008323A3"/>
    <w:rsid w:val="00832804"/>
    <w:rsid w:val="00832914"/>
    <w:rsid w:val="00832963"/>
    <w:rsid w:val="0083307D"/>
    <w:rsid w:val="0083440D"/>
    <w:rsid w:val="008344F3"/>
    <w:rsid w:val="00834937"/>
    <w:rsid w:val="00834F3A"/>
    <w:rsid w:val="00835705"/>
    <w:rsid w:val="008359C2"/>
    <w:rsid w:val="00836014"/>
    <w:rsid w:val="008364C4"/>
    <w:rsid w:val="00836886"/>
    <w:rsid w:val="0083699F"/>
    <w:rsid w:val="00836F46"/>
    <w:rsid w:val="008370C2"/>
    <w:rsid w:val="008378F0"/>
    <w:rsid w:val="00840FF6"/>
    <w:rsid w:val="008412A1"/>
    <w:rsid w:val="00841955"/>
    <w:rsid w:val="00841978"/>
    <w:rsid w:val="00842E6C"/>
    <w:rsid w:val="00842F2C"/>
    <w:rsid w:val="008435E0"/>
    <w:rsid w:val="00843647"/>
    <w:rsid w:val="008437A7"/>
    <w:rsid w:val="00843A8F"/>
    <w:rsid w:val="00843C7C"/>
    <w:rsid w:val="00844498"/>
    <w:rsid w:val="0084462E"/>
    <w:rsid w:val="00844D7E"/>
    <w:rsid w:val="008459DA"/>
    <w:rsid w:val="00845A41"/>
    <w:rsid w:val="00845BFE"/>
    <w:rsid w:val="00845C73"/>
    <w:rsid w:val="00845E09"/>
    <w:rsid w:val="0084644A"/>
    <w:rsid w:val="008467BD"/>
    <w:rsid w:val="00846A35"/>
    <w:rsid w:val="00846D4E"/>
    <w:rsid w:val="00846E0C"/>
    <w:rsid w:val="00846E71"/>
    <w:rsid w:val="00846E92"/>
    <w:rsid w:val="008472DA"/>
    <w:rsid w:val="00847A64"/>
    <w:rsid w:val="00847F2C"/>
    <w:rsid w:val="00850324"/>
    <w:rsid w:val="008513BF"/>
    <w:rsid w:val="00851901"/>
    <w:rsid w:val="00851CE1"/>
    <w:rsid w:val="00851D91"/>
    <w:rsid w:val="00852301"/>
    <w:rsid w:val="00852564"/>
    <w:rsid w:val="00852959"/>
    <w:rsid w:val="00852A24"/>
    <w:rsid w:val="00853376"/>
    <w:rsid w:val="0085350C"/>
    <w:rsid w:val="0085358D"/>
    <w:rsid w:val="00854280"/>
    <w:rsid w:val="0085428B"/>
    <w:rsid w:val="0085472E"/>
    <w:rsid w:val="00854FC2"/>
    <w:rsid w:val="0085512D"/>
    <w:rsid w:val="00855139"/>
    <w:rsid w:val="008554E5"/>
    <w:rsid w:val="00855668"/>
    <w:rsid w:val="00855998"/>
    <w:rsid w:val="008559D9"/>
    <w:rsid w:val="00855CC1"/>
    <w:rsid w:val="008570BA"/>
    <w:rsid w:val="008572C9"/>
    <w:rsid w:val="008575B1"/>
    <w:rsid w:val="008576DF"/>
    <w:rsid w:val="008577B3"/>
    <w:rsid w:val="00857862"/>
    <w:rsid w:val="0086001B"/>
    <w:rsid w:val="00860806"/>
    <w:rsid w:val="00861673"/>
    <w:rsid w:val="00861CCA"/>
    <w:rsid w:val="008626EE"/>
    <w:rsid w:val="008627C0"/>
    <w:rsid w:val="00862BE1"/>
    <w:rsid w:val="00862C53"/>
    <w:rsid w:val="00863B14"/>
    <w:rsid w:val="00863E19"/>
    <w:rsid w:val="00863EE9"/>
    <w:rsid w:val="0086449E"/>
    <w:rsid w:val="0086508C"/>
    <w:rsid w:val="00865232"/>
    <w:rsid w:val="00865399"/>
    <w:rsid w:val="008664B2"/>
    <w:rsid w:val="00866B7E"/>
    <w:rsid w:val="00867201"/>
    <w:rsid w:val="0086758F"/>
    <w:rsid w:val="008703FF"/>
    <w:rsid w:val="008707DD"/>
    <w:rsid w:val="00870D7F"/>
    <w:rsid w:val="00870F84"/>
    <w:rsid w:val="008710FA"/>
    <w:rsid w:val="008711B6"/>
    <w:rsid w:val="008716BF"/>
    <w:rsid w:val="008717E9"/>
    <w:rsid w:val="0087214E"/>
    <w:rsid w:val="00872361"/>
    <w:rsid w:val="00872479"/>
    <w:rsid w:val="00872B03"/>
    <w:rsid w:val="0087322A"/>
    <w:rsid w:val="00873C77"/>
    <w:rsid w:val="00873D75"/>
    <w:rsid w:val="00874025"/>
    <w:rsid w:val="00874594"/>
    <w:rsid w:val="00874787"/>
    <w:rsid w:val="00874ECF"/>
    <w:rsid w:val="00874ED5"/>
    <w:rsid w:val="0087516C"/>
    <w:rsid w:val="0087528B"/>
    <w:rsid w:val="008754C8"/>
    <w:rsid w:val="00875EF6"/>
    <w:rsid w:val="00876179"/>
    <w:rsid w:val="008763F2"/>
    <w:rsid w:val="008764B5"/>
    <w:rsid w:val="00876804"/>
    <w:rsid w:val="008774EE"/>
    <w:rsid w:val="00877C23"/>
    <w:rsid w:val="00877CC7"/>
    <w:rsid w:val="00877EE6"/>
    <w:rsid w:val="008801F8"/>
    <w:rsid w:val="0088049C"/>
    <w:rsid w:val="00880898"/>
    <w:rsid w:val="008808E2"/>
    <w:rsid w:val="00880B4D"/>
    <w:rsid w:val="00880E85"/>
    <w:rsid w:val="008810AF"/>
    <w:rsid w:val="0088172B"/>
    <w:rsid w:val="00881CB6"/>
    <w:rsid w:val="00881EEF"/>
    <w:rsid w:val="00882EF2"/>
    <w:rsid w:val="00883199"/>
    <w:rsid w:val="008839EB"/>
    <w:rsid w:val="0088479E"/>
    <w:rsid w:val="00884A03"/>
    <w:rsid w:val="00884A33"/>
    <w:rsid w:val="0088556E"/>
    <w:rsid w:val="008856B2"/>
    <w:rsid w:val="00885A2D"/>
    <w:rsid w:val="00885D93"/>
    <w:rsid w:val="00885DFA"/>
    <w:rsid w:val="00886544"/>
    <w:rsid w:val="00886908"/>
    <w:rsid w:val="00886924"/>
    <w:rsid w:val="00886AF3"/>
    <w:rsid w:val="00886B11"/>
    <w:rsid w:val="00886B2B"/>
    <w:rsid w:val="00886F69"/>
    <w:rsid w:val="008876AA"/>
    <w:rsid w:val="00887D2C"/>
    <w:rsid w:val="008900AD"/>
    <w:rsid w:val="008900B0"/>
    <w:rsid w:val="0089010E"/>
    <w:rsid w:val="00890264"/>
    <w:rsid w:val="008906C8"/>
    <w:rsid w:val="008909E5"/>
    <w:rsid w:val="008916F4"/>
    <w:rsid w:val="00891C72"/>
    <w:rsid w:val="00891F81"/>
    <w:rsid w:val="00892034"/>
    <w:rsid w:val="008924B8"/>
    <w:rsid w:val="0089253E"/>
    <w:rsid w:val="00892767"/>
    <w:rsid w:val="00892D1E"/>
    <w:rsid w:val="00892D4B"/>
    <w:rsid w:val="00892FB1"/>
    <w:rsid w:val="008940C7"/>
    <w:rsid w:val="00896145"/>
    <w:rsid w:val="00896507"/>
    <w:rsid w:val="008966D4"/>
    <w:rsid w:val="00896999"/>
    <w:rsid w:val="00896ACC"/>
    <w:rsid w:val="00897A5C"/>
    <w:rsid w:val="00897DE7"/>
    <w:rsid w:val="008A0A3C"/>
    <w:rsid w:val="008A0BFD"/>
    <w:rsid w:val="008A145B"/>
    <w:rsid w:val="008A17F7"/>
    <w:rsid w:val="008A19A2"/>
    <w:rsid w:val="008A1B24"/>
    <w:rsid w:val="008A1D10"/>
    <w:rsid w:val="008A23B1"/>
    <w:rsid w:val="008A2664"/>
    <w:rsid w:val="008A26D0"/>
    <w:rsid w:val="008A2C60"/>
    <w:rsid w:val="008A2D16"/>
    <w:rsid w:val="008A2E3D"/>
    <w:rsid w:val="008A375D"/>
    <w:rsid w:val="008A40E6"/>
    <w:rsid w:val="008A4579"/>
    <w:rsid w:val="008A4842"/>
    <w:rsid w:val="008A5243"/>
    <w:rsid w:val="008A5BCF"/>
    <w:rsid w:val="008A5E4E"/>
    <w:rsid w:val="008A63EB"/>
    <w:rsid w:val="008A66AC"/>
    <w:rsid w:val="008A7769"/>
    <w:rsid w:val="008A77E2"/>
    <w:rsid w:val="008A7F28"/>
    <w:rsid w:val="008B006A"/>
    <w:rsid w:val="008B040C"/>
    <w:rsid w:val="008B09D1"/>
    <w:rsid w:val="008B0A9C"/>
    <w:rsid w:val="008B0F3F"/>
    <w:rsid w:val="008B158A"/>
    <w:rsid w:val="008B16BD"/>
    <w:rsid w:val="008B1796"/>
    <w:rsid w:val="008B28D6"/>
    <w:rsid w:val="008B28EF"/>
    <w:rsid w:val="008B2E16"/>
    <w:rsid w:val="008B2E7D"/>
    <w:rsid w:val="008B347F"/>
    <w:rsid w:val="008B3550"/>
    <w:rsid w:val="008B3763"/>
    <w:rsid w:val="008B3984"/>
    <w:rsid w:val="008B3B4E"/>
    <w:rsid w:val="008B3CA1"/>
    <w:rsid w:val="008B4253"/>
    <w:rsid w:val="008B42F5"/>
    <w:rsid w:val="008B4523"/>
    <w:rsid w:val="008B4D1D"/>
    <w:rsid w:val="008B4E36"/>
    <w:rsid w:val="008B5192"/>
    <w:rsid w:val="008B51B0"/>
    <w:rsid w:val="008B5FA5"/>
    <w:rsid w:val="008B604D"/>
    <w:rsid w:val="008B6323"/>
    <w:rsid w:val="008B6D88"/>
    <w:rsid w:val="008B6ED3"/>
    <w:rsid w:val="008B704B"/>
    <w:rsid w:val="008C05A0"/>
    <w:rsid w:val="008C0895"/>
    <w:rsid w:val="008C0F26"/>
    <w:rsid w:val="008C127E"/>
    <w:rsid w:val="008C1E24"/>
    <w:rsid w:val="008C1E50"/>
    <w:rsid w:val="008C270C"/>
    <w:rsid w:val="008C2A89"/>
    <w:rsid w:val="008C2EAE"/>
    <w:rsid w:val="008C353E"/>
    <w:rsid w:val="008C3690"/>
    <w:rsid w:val="008C4B5A"/>
    <w:rsid w:val="008C4CB1"/>
    <w:rsid w:val="008C51A3"/>
    <w:rsid w:val="008C53A2"/>
    <w:rsid w:val="008C5F73"/>
    <w:rsid w:val="008C6AE8"/>
    <w:rsid w:val="008C72BD"/>
    <w:rsid w:val="008C7D86"/>
    <w:rsid w:val="008D03DC"/>
    <w:rsid w:val="008D0AA8"/>
    <w:rsid w:val="008D1BA3"/>
    <w:rsid w:val="008D1FB6"/>
    <w:rsid w:val="008D251C"/>
    <w:rsid w:val="008D2A0B"/>
    <w:rsid w:val="008D351F"/>
    <w:rsid w:val="008D3833"/>
    <w:rsid w:val="008D38BD"/>
    <w:rsid w:val="008D4343"/>
    <w:rsid w:val="008D4862"/>
    <w:rsid w:val="008D4E11"/>
    <w:rsid w:val="008D4F08"/>
    <w:rsid w:val="008D549B"/>
    <w:rsid w:val="008D5730"/>
    <w:rsid w:val="008D59AD"/>
    <w:rsid w:val="008D5A9E"/>
    <w:rsid w:val="008D5C86"/>
    <w:rsid w:val="008D6290"/>
    <w:rsid w:val="008D6805"/>
    <w:rsid w:val="008D6E69"/>
    <w:rsid w:val="008D6FEE"/>
    <w:rsid w:val="008D735B"/>
    <w:rsid w:val="008D771D"/>
    <w:rsid w:val="008D7931"/>
    <w:rsid w:val="008D79AC"/>
    <w:rsid w:val="008E087D"/>
    <w:rsid w:val="008E0BD2"/>
    <w:rsid w:val="008E0D16"/>
    <w:rsid w:val="008E13E7"/>
    <w:rsid w:val="008E1DD6"/>
    <w:rsid w:val="008E201C"/>
    <w:rsid w:val="008E2364"/>
    <w:rsid w:val="008E295E"/>
    <w:rsid w:val="008E2B22"/>
    <w:rsid w:val="008E30C2"/>
    <w:rsid w:val="008E315D"/>
    <w:rsid w:val="008E35A7"/>
    <w:rsid w:val="008E3CB7"/>
    <w:rsid w:val="008E3E48"/>
    <w:rsid w:val="008E4342"/>
    <w:rsid w:val="008E4546"/>
    <w:rsid w:val="008E589B"/>
    <w:rsid w:val="008E5CA8"/>
    <w:rsid w:val="008E5F0A"/>
    <w:rsid w:val="008E7180"/>
    <w:rsid w:val="008E788E"/>
    <w:rsid w:val="008E797F"/>
    <w:rsid w:val="008E79D5"/>
    <w:rsid w:val="008E7BD3"/>
    <w:rsid w:val="008E7EDD"/>
    <w:rsid w:val="008F0581"/>
    <w:rsid w:val="008F070C"/>
    <w:rsid w:val="008F09CB"/>
    <w:rsid w:val="008F0D63"/>
    <w:rsid w:val="008F1EC1"/>
    <w:rsid w:val="008F2A0F"/>
    <w:rsid w:val="008F2D0E"/>
    <w:rsid w:val="008F31B8"/>
    <w:rsid w:val="008F398A"/>
    <w:rsid w:val="008F3BEA"/>
    <w:rsid w:val="008F425B"/>
    <w:rsid w:val="008F45BC"/>
    <w:rsid w:val="008F5AA8"/>
    <w:rsid w:val="008F6210"/>
    <w:rsid w:val="008F62FA"/>
    <w:rsid w:val="008F71CF"/>
    <w:rsid w:val="008F728C"/>
    <w:rsid w:val="009009B8"/>
    <w:rsid w:val="0090117F"/>
    <w:rsid w:val="009015B6"/>
    <w:rsid w:val="009016EA"/>
    <w:rsid w:val="009017D3"/>
    <w:rsid w:val="0090238F"/>
    <w:rsid w:val="00902570"/>
    <w:rsid w:val="00902BA4"/>
    <w:rsid w:val="00903B76"/>
    <w:rsid w:val="00904675"/>
    <w:rsid w:val="00904C96"/>
    <w:rsid w:val="00904D1F"/>
    <w:rsid w:val="00904F2A"/>
    <w:rsid w:val="009054CC"/>
    <w:rsid w:val="00905BAA"/>
    <w:rsid w:val="009072A9"/>
    <w:rsid w:val="009073B6"/>
    <w:rsid w:val="0090766D"/>
    <w:rsid w:val="00907853"/>
    <w:rsid w:val="00910458"/>
    <w:rsid w:val="00910B02"/>
    <w:rsid w:val="00910CC4"/>
    <w:rsid w:val="00910D1F"/>
    <w:rsid w:val="00911BE6"/>
    <w:rsid w:val="009121AF"/>
    <w:rsid w:val="00913027"/>
    <w:rsid w:val="00913057"/>
    <w:rsid w:val="0091347A"/>
    <w:rsid w:val="0091347E"/>
    <w:rsid w:val="00913799"/>
    <w:rsid w:val="00914003"/>
    <w:rsid w:val="00914738"/>
    <w:rsid w:val="00914B66"/>
    <w:rsid w:val="00914C78"/>
    <w:rsid w:val="009168DC"/>
    <w:rsid w:val="009170B6"/>
    <w:rsid w:val="009171E6"/>
    <w:rsid w:val="00917596"/>
    <w:rsid w:val="009175FE"/>
    <w:rsid w:val="0091760A"/>
    <w:rsid w:val="00917687"/>
    <w:rsid w:val="0092040D"/>
    <w:rsid w:val="009209D3"/>
    <w:rsid w:val="00921E92"/>
    <w:rsid w:val="00922A94"/>
    <w:rsid w:val="00922D0F"/>
    <w:rsid w:val="00923B75"/>
    <w:rsid w:val="00923FBF"/>
    <w:rsid w:val="00924672"/>
    <w:rsid w:val="00924758"/>
    <w:rsid w:val="00924BDA"/>
    <w:rsid w:val="00925002"/>
    <w:rsid w:val="0092502E"/>
    <w:rsid w:val="009257B8"/>
    <w:rsid w:val="00925904"/>
    <w:rsid w:val="009261BD"/>
    <w:rsid w:val="0092630E"/>
    <w:rsid w:val="00926489"/>
    <w:rsid w:val="0092657E"/>
    <w:rsid w:val="00926692"/>
    <w:rsid w:val="0092682B"/>
    <w:rsid w:val="00926E43"/>
    <w:rsid w:val="00926F4D"/>
    <w:rsid w:val="00927D2F"/>
    <w:rsid w:val="00927E59"/>
    <w:rsid w:val="00930809"/>
    <w:rsid w:val="009308B1"/>
    <w:rsid w:val="00931500"/>
    <w:rsid w:val="00931714"/>
    <w:rsid w:val="00931771"/>
    <w:rsid w:val="00931DDE"/>
    <w:rsid w:val="009322EE"/>
    <w:rsid w:val="00933450"/>
    <w:rsid w:val="009334C4"/>
    <w:rsid w:val="009335A4"/>
    <w:rsid w:val="009335FA"/>
    <w:rsid w:val="0093360D"/>
    <w:rsid w:val="00933762"/>
    <w:rsid w:val="00934636"/>
    <w:rsid w:val="00934B72"/>
    <w:rsid w:val="00934D1E"/>
    <w:rsid w:val="00934F1A"/>
    <w:rsid w:val="009359D7"/>
    <w:rsid w:val="00936008"/>
    <w:rsid w:val="0093646D"/>
    <w:rsid w:val="00936677"/>
    <w:rsid w:val="0093775C"/>
    <w:rsid w:val="00937D25"/>
    <w:rsid w:val="009402E9"/>
    <w:rsid w:val="00940473"/>
    <w:rsid w:val="0094056C"/>
    <w:rsid w:val="00940796"/>
    <w:rsid w:val="00941490"/>
    <w:rsid w:val="009419E1"/>
    <w:rsid w:val="00942171"/>
    <w:rsid w:val="0094227F"/>
    <w:rsid w:val="0094236B"/>
    <w:rsid w:val="00942432"/>
    <w:rsid w:val="00942A25"/>
    <w:rsid w:val="009434DF"/>
    <w:rsid w:val="00943ABD"/>
    <w:rsid w:val="00943B03"/>
    <w:rsid w:val="00943D47"/>
    <w:rsid w:val="00943DA4"/>
    <w:rsid w:val="009441F8"/>
    <w:rsid w:val="0094446D"/>
    <w:rsid w:val="0094461B"/>
    <w:rsid w:val="009446EC"/>
    <w:rsid w:val="0094519F"/>
    <w:rsid w:val="009452B6"/>
    <w:rsid w:val="009458B9"/>
    <w:rsid w:val="00945A0F"/>
    <w:rsid w:val="0094642A"/>
    <w:rsid w:val="0094647C"/>
    <w:rsid w:val="0094680E"/>
    <w:rsid w:val="0094709F"/>
    <w:rsid w:val="0094719E"/>
    <w:rsid w:val="009475FA"/>
    <w:rsid w:val="0094766D"/>
    <w:rsid w:val="00947771"/>
    <w:rsid w:val="00947CDA"/>
    <w:rsid w:val="00947E4A"/>
    <w:rsid w:val="00947EA8"/>
    <w:rsid w:val="00950058"/>
    <w:rsid w:val="00950745"/>
    <w:rsid w:val="00950C18"/>
    <w:rsid w:val="00950DBE"/>
    <w:rsid w:val="009511E0"/>
    <w:rsid w:val="0095142B"/>
    <w:rsid w:val="0095196E"/>
    <w:rsid w:val="00952163"/>
    <w:rsid w:val="00952C35"/>
    <w:rsid w:val="009535D7"/>
    <w:rsid w:val="00953A52"/>
    <w:rsid w:val="0095433B"/>
    <w:rsid w:val="00954D3E"/>
    <w:rsid w:val="009559C4"/>
    <w:rsid w:val="00955AB6"/>
    <w:rsid w:val="00955CCD"/>
    <w:rsid w:val="009560AD"/>
    <w:rsid w:val="00956809"/>
    <w:rsid w:val="00957000"/>
    <w:rsid w:val="009573E7"/>
    <w:rsid w:val="009575C7"/>
    <w:rsid w:val="009577BF"/>
    <w:rsid w:val="00957BF6"/>
    <w:rsid w:val="00960128"/>
    <w:rsid w:val="00960496"/>
    <w:rsid w:val="009608A8"/>
    <w:rsid w:val="00960EA5"/>
    <w:rsid w:val="00961E1B"/>
    <w:rsid w:val="00961E20"/>
    <w:rsid w:val="00961E6F"/>
    <w:rsid w:val="00962066"/>
    <w:rsid w:val="009626F1"/>
    <w:rsid w:val="00962C43"/>
    <w:rsid w:val="0096307E"/>
    <w:rsid w:val="009631F1"/>
    <w:rsid w:val="00963765"/>
    <w:rsid w:val="00963781"/>
    <w:rsid w:val="009638C8"/>
    <w:rsid w:val="00963F0B"/>
    <w:rsid w:val="00963FA4"/>
    <w:rsid w:val="009647C7"/>
    <w:rsid w:val="00965240"/>
    <w:rsid w:val="009652D5"/>
    <w:rsid w:val="00966239"/>
    <w:rsid w:val="0096637F"/>
    <w:rsid w:val="0096728D"/>
    <w:rsid w:val="0096730D"/>
    <w:rsid w:val="00967A4B"/>
    <w:rsid w:val="00967B7A"/>
    <w:rsid w:val="00967CE0"/>
    <w:rsid w:val="009707DA"/>
    <w:rsid w:val="00970E5D"/>
    <w:rsid w:val="0097147F"/>
    <w:rsid w:val="009714B0"/>
    <w:rsid w:val="00971720"/>
    <w:rsid w:val="009717A5"/>
    <w:rsid w:val="0097231B"/>
    <w:rsid w:val="00972C28"/>
    <w:rsid w:val="00972FE2"/>
    <w:rsid w:val="0097304B"/>
    <w:rsid w:val="009734E3"/>
    <w:rsid w:val="0097353C"/>
    <w:rsid w:val="009735C0"/>
    <w:rsid w:val="009736ED"/>
    <w:rsid w:val="00973CAF"/>
    <w:rsid w:val="00973D67"/>
    <w:rsid w:val="00974127"/>
    <w:rsid w:val="00974452"/>
    <w:rsid w:val="00974573"/>
    <w:rsid w:val="009745F7"/>
    <w:rsid w:val="00974A64"/>
    <w:rsid w:val="00974BD5"/>
    <w:rsid w:val="00974DF4"/>
    <w:rsid w:val="0097569A"/>
    <w:rsid w:val="009758F0"/>
    <w:rsid w:val="00976F39"/>
    <w:rsid w:val="00977C0B"/>
    <w:rsid w:val="0098000B"/>
    <w:rsid w:val="009803C0"/>
    <w:rsid w:val="00980721"/>
    <w:rsid w:val="00980C99"/>
    <w:rsid w:val="00981274"/>
    <w:rsid w:val="0098167A"/>
    <w:rsid w:val="009820A4"/>
    <w:rsid w:val="009824B6"/>
    <w:rsid w:val="009826B2"/>
    <w:rsid w:val="0098285B"/>
    <w:rsid w:val="00982CD1"/>
    <w:rsid w:val="00983032"/>
    <w:rsid w:val="0098396E"/>
    <w:rsid w:val="00983B58"/>
    <w:rsid w:val="009844FD"/>
    <w:rsid w:val="0098478B"/>
    <w:rsid w:val="009848F4"/>
    <w:rsid w:val="00984C4C"/>
    <w:rsid w:val="00984DAA"/>
    <w:rsid w:val="009850AB"/>
    <w:rsid w:val="009852A3"/>
    <w:rsid w:val="00985597"/>
    <w:rsid w:val="0098584C"/>
    <w:rsid w:val="00985968"/>
    <w:rsid w:val="00985CB6"/>
    <w:rsid w:val="00985EB7"/>
    <w:rsid w:val="00986200"/>
    <w:rsid w:val="009866A8"/>
    <w:rsid w:val="0098717A"/>
    <w:rsid w:val="0098770F"/>
    <w:rsid w:val="00987B37"/>
    <w:rsid w:val="00987C4F"/>
    <w:rsid w:val="00987EE8"/>
    <w:rsid w:val="00990636"/>
    <w:rsid w:val="009908CB"/>
    <w:rsid w:val="00990C10"/>
    <w:rsid w:val="00990E5D"/>
    <w:rsid w:val="00991992"/>
    <w:rsid w:val="009919DF"/>
    <w:rsid w:val="00991F6C"/>
    <w:rsid w:val="009924F5"/>
    <w:rsid w:val="0099268A"/>
    <w:rsid w:val="009926AE"/>
    <w:rsid w:val="00992989"/>
    <w:rsid w:val="00992E8C"/>
    <w:rsid w:val="00993334"/>
    <w:rsid w:val="0099355B"/>
    <w:rsid w:val="00993840"/>
    <w:rsid w:val="009938E2"/>
    <w:rsid w:val="00993A87"/>
    <w:rsid w:val="00993D5D"/>
    <w:rsid w:val="00993D64"/>
    <w:rsid w:val="009946FB"/>
    <w:rsid w:val="00994B6F"/>
    <w:rsid w:val="00994E05"/>
    <w:rsid w:val="00995018"/>
    <w:rsid w:val="0099538D"/>
    <w:rsid w:val="00995919"/>
    <w:rsid w:val="00996317"/>
    <w:rsid w:val="00996779"/>
    <w:rsid w:val="009967C6"/>
    <w:rsid w:val="00996A97"/>
    <w:rsid w:val="00996B72"/>
    <w:rsid w:val="00996CF7"/>
    <w:rsid w:val="00996F8A"/>
    <w:rsid w:val="00997166"/>
    <w:rsid w:val="00997229"/>
    <w:rsid w:val="00997A68"/>
    <w:rsid w:val="009A0220"/>
    <w:rsid w:val="009A0C92"/>
    <w:rsid w:val="009A0F39"/>
    <w:rsid w:val="009A129C"/>
    <w:rsid w:val="009A1C7F"/>
    <w:rsid w:val="009A3169"/>
    <w:rsid w:val="009A3290"/>
    <w:rsid w:val="009A3F20"/>
    <w:rsid w:val="009A3F75"/>
    <w:rsid w:val="009A456D"/>
    <w:rsid w:val="009A4997"/>
    <w:rsid w:val="009A4E1B"/>
    <w:rsid w:val="009A552B"/>
    <w:rsid w:val="009A583F"/>
    <w:rsid w:val="009A59C3"/>
    <w:rsid w:val="009A65D0"/>
    <w:rsid w:val="009A68F3"/>
    <w:rsid w:val="009A69BE"/>
    <w:rsid w:val="009A6C9A"/>
    <w:rsid w:val="009A6F30"/>
    <w:rsid w:val="009A7080"/>
    <w:rsid w:val="009A7E27"/>
    <w:rsid w:val="009B0662"/>
    <w:rsid w:val="009B07E6"/>
    <w:rsid w:val="009B09DF"/>
    <w:rsid w:val="009B0E5C"/>
    <w:rsid w:val="009B1D2E"/>
    <w:rsid w:val="009B1FF1"/>
    <w:rsid w:val="009B2028"/>
    <w:rsid w:val="009B285C"/>
    <w:rsid w:val="009B2FE2"/>
    <w:rsid w:val="009B3D29"/>
    <w:rsid w:val="009B4849"/>
    <w:rsid w:val="009B4B60"/>
    <w:rsid w:val="009B4BE2"/>
    <w:rsid w:val="009B50C7"/>
    <w:rsid w:val="009B5362"/>
    <w:rsid w:val="009B5460"/>
    <w:rsid w:val="009B5B38"/>
    <w:rsid w:val="009B6311"/>
    <w:rsid w:val="009B634A"/>
    <w:rsid w:val="009B6361"/>
    <w:rsid w:val="009B64EC"/>
    <w:rsid w:val="009B6C9A"/>
    <w:rsid w:val="009B7174"/>
    <w:rsid w:val="009B72D1"/>
    <w:rsid w:val="009B76D1"/>
    <w:rsid w:val="009B795C"/>
    <w:rsid w:val="009C072F"/>
    <w:rsid w:val="009C0820"/>
    <w:rsid w:val="009C0C59"/>
    <w:rsid w:val="009C0DC8"/>
    <w:rsid w:val="009C1014"/>
    <w:rsid w:val="009C1743"/>
    <w:rsid w:val="009C1B19"/>
    <w:rsid w:val="009C1CA2"/>
    <w:rsid w:val="009C224A"/>
    <w:rsid w:val="009C2D7A"/>
    <w:rsid w:val="009C336F"/>
    <w:rsid w:val="009C3A59"/>
    <w:rsid w:val="009C4387"/>
    <w:rsid w:val="009C43ED"/>
    <w:rsid w:val="009C55AB"/>
    <w:rsid w:val="009C5A45"/>
    <w:rsid w:val="009C64CC"/>
    <w:rsid w:val="009C6984"/>
    <w:rsid w:val="009C6A58"/>
    <w:rsid w:val="009C7A10"/>
    <w:rsid w:val="009C7CBF"/>
    <w:rsid w:val="009D008A"/>
    <w:rsid w:val="009D06CD"/>
    <w:rsid w:val="009D0D9C"/>
    <w:rsid w:val="009D0E38"/>
    <w:rsid w:val="009D0E72"/>
    <w:rsid w:val="009D1406"/>
    <w:rsid w:val="009D1B67"/>
    <w:rsid w:val="009D206D"/>
    <w:rsid w:val="009D20CC"/>
    <w:rsid w:val="009D27A5"/>
    <w:rsid w:val="009D28E6"/>
    <w:rsid w:val="009D2A41"/>
    <w:rsid w:val="009D2D8E"/>
    <w:rsid w:val="009D2F17"/>
    <w:rsid w:val="009D2F71"/>
    <w:rsid w:val="009D3166"/>
    <w:rsid w:val="009D31FF"/>
    <w:rsid w:val="009D37B7"/>
    <w:rsid w:val="009D3FEC"/>
    <w:rsid w:val="009D46BE"/>
    <w:rsid w:val="009D4BA1"/>
    <w:rsid w:val="009D4FF6"/>
    <w:rsid w:val="009D5207"/>
    <w:rsid w:val="009D5C31"/>
    <w:rsid w:val="009D678A"/>
    <w:rsid w:val="009D6C19"/>
    <w:rsid w:val="009D6C1B"/>
    <w:rsid w:val="009D6C89"/>
    <w:rsid w:val="009D6CEE"/>
    <w:rsid w:val="009D6DFF"/>
    <w:rsid w:val="009D6EC5"/>
    <w:rsid w:val="009D7119"/>
    <w:rsid w:val="009D72C1"/>
    <w:rsid w:val="009D7375"/>
    <w:rsid w:val="009D75EF"/>
    <w:rsid w:val="009E0571"/>
    <w:rsid w:val="009E0AF4"/>
    <w:rsid w:val="009E0FF3"/>
    <w:rsid w:val="009E1573"/>
    <w:rsid w:val="009E16DE"/>
    <w:rsid w:val="009E20E1"/>
    <w:rsid w:val="009E2109"/>
    <w:rsid w:val="009E2239"/>
    <w:rsid w:val="009E2469"/>
    <w:rsid w:val="009E2902"/>
    <w:rsid w:val="009E29A4"/>
    <w:rsid w:val="009E300C"/>
    <w:rsid w:val="009E319B"/>
    <w:rsid w:val="009E3483"/>
    <w:rsid w:val="009E357C"/>
    <w:rsid w:val="009E3697"/>
    <w:rsid w:val="009E3DCE"/>
    <w:rsid w:val="009E50E7"/>
    <w:rsid w:val="009E55E7"/>
    <w:rsid w:val="009E56D1"/>
    <w:rsid w:val="009E574C"/>
    <w:rsid w:val="009E592A"/>
    <w:rsid w:val="009E5976"/>
    <w:rsid w:val="009E5D98"/>
    <w:rsid w:val="009E667E"/>
    <w:rsid w:val="009E6DBB"/>
    <w:rsid w:val="009E6F1D"/>
    <w:rsid w:val="009E7062"/>
    <w:rsid w:val="009E7434"/>
    <w:rsid w:val="009E75E4"/>
    <w:rsid w:val="009E7749"/>
    <w:rsid w:val="009E7F36"/>
    <w:rsid w:val="009E7FE3"/>
    <w:rsid w:val="009F0B6A"/>
    <w:rsid w:val="009F2A22"/>
    <w:rsid w:val="009F2E7B"/>
    <w:rsid w:val="009F3193"/>
    <w:rsid w:val="009F3546"/>
    <w:rsid w:val="009F424F"/>
    <w:rsid w:val="009F433A"/>
    <w:rsid w:val="009F47C1"/>
    <w:rsid w:val="009F4A0C"/>
    <w:rsid w:val="009F4C54"/>
    <w:rsid w:val="009F4EE1"/>
    <w:rsid w:val="009F5000"/>
    <w:rsid w:val="009F50A1"/>
    <w:rsid w:val="009F5D43"/>
    <w:rsid w:val="009F5EDA"/>
    <w:rsid w:val="009F6604"/>
    <w:rsid w:val="009F6E65"/>
    <w:rsid w:val="009F7096"/>
    <w:rsid w:val="009F71B5"/>
    <w:rsid w:val="009F7846"/>
    <w:rsid w:val="009F7C1A"/>
    <w:rsid w:val="00A00AF2"/>
    <w:rsid w:val="00A00C87"/>
    <w:rsid w:val="00A013A5"/>
    <w:rsid w:val="00A017FD"/>
    <w:rsid w:val="00A02013"/>
    <w:rsid w:val="00A024C8"/>
    <w:rsid w:val="00A02BB5"/>
    <w:rsid w:val="00A02F90"/>
    <w:rsid w:val="00A0326A"/>
    <w:rsid w:val="00A03BEC"/>
    <w:rsid w:val="00A03E47"/>
    <w:rsid w:val="00A045C3"/>
    <w:rsid w:val="00A04806"/>
    <w:rsid w:val="00A05032"/>
    <w:rsid w:val="00A050D1"/>
    <w:rsid w:val="00A051BA"/>
    <w:rsid w:val="00A05B1B"/>
    <w:rsid w:val="00A05F43"/>
    <w:rsid w:val="00A05F8C"/>
    <w:rsid w:val="00A06240"/>
    <w:rsid w:val="00A06BFE"/>
    <w:rsid w:val="00A06E5F"/>
    <w:rsid w:val="00A07286"/>
    <w:rsid w:val="00A07B6A"/>
    <w:rsid w:val="00A07FB8"/>
    <w:rsid w:val="00A07FD9"/>
    <w:rsid w:val="00A10A62"/>
    <w:rsid w:val="00A10B32"/>
    <w:rsid w:val="00A1105D"/>
    <w:rsid w:val="00A110D6"/>
    <w:rsid w:val="00A114AE"/>
    <w:rsid w:val="00A11D5E"/>
    <w:rsid w:val="00A12313"/>
    <w:rsid w:val="00A13B50"/>
    <w:rsid w:val="00A14312"/>
    <w:rsid w:val="00A143B8"/>
    <w:rsid w:val="00A14547"/>
    <w:rsid w:val="00A14681"/>
    <w:rsid w:val="00A14915"/>
    <w:rsid w:val="00A14A87"/>
    <w:rsid w:val="00A14BBE"/>
    <w:rsid w:val="00A14DB8"/>
    <w:rsid w:val="00A14F01"/>
    <w:rsid w:val="00A156EE"/>
    <w:rsid w:val="00A15933"/>
    <w:rsid w:val="00A15982"/>
    <w:rsid w:val="00A15EDC"/>
    <w:rsid w:val="00A15F83"/>
    <w:rsid w:val="00A15F9A"/>
    <w:rsid w:val="00A169F8"/>
    <w:rsid w:val="00A16B8E"/>
    <w:rsid w:val="00A16EAF"/>
    <w:rsid w:val="00A17FF7"/>
    <w:rsid w:val="00A2019C"/>
    <w:rsid w:val="00A2090D"/>
    <w:rsid w:val="00A20B21"/>
    <w:rsid w:val="00A20EFF"/>
    <w:rsid w:val="00A20F49"/>
    <w:rsid w:val="00A213BD"/>
    <w:rsid w:val="00A21648"/>
    <w:rsid w:val="00A21C51"/>
    <w:rsid w:val="00A21C57"/>
    <w:rsid w:val="00A21DAC"/>
    <w:rsid w:val="00A21DBC"/>
    <w:rsid w:val="00A21F3C"/>
    <w:rsid w:val="00A22052"/>
    <w:rsid w:val="00A2238B"/>
    <w:rsid w:val="00A2279F"/>
    <w:rsid w:val="00A235E9"/>
    <w:rsid w:val="00A23CD4"/>
    <w:rsid w:val="00A23DC6"/>
    <w:rsid w:val="00A24400"/>
    <w:rsid w:val="00A2450D"/>
    <w:rsid w:val="00A24E62"/>
    <w:rsid w:val="00A252E3"/>
    <w:rsid w:val="00A259A9"/>
    <w:rsid w:val="00A25AC4"/>
    <w:rsid w:val="00A26467"/>
    <w:rsid w:val="00A26712"/>
    <w:rsid w:val="00A26989"/>
    <w:rsid w:val="00A26B7E"/>
    <w:rsid w:val="00A26C24"/>
    <w:rsid w:val="00A27568"/>
    <w:rsid w:val="00A30F0B"/>
    <w:rsid w:val="00A30FDC"/>
    <w:rsid w:val="00A31111"/>
    <w:rsid w:val="00A3117C"/>
    <w:rsid w:val="00A3257F"/>
    <w:rsid w:val="00A3259F"/>
    <w:rsid w:val="00A3296C"/>
    <w:rsid w:val="00A32D27"/>
    <w:rsid w:val="00A33566"/>
    <w:rsid w:val="00A3420D"/>
    <w:rsid w:val="00A34A77"/>
    <w:rsid w:val="00A34CC8"/>
    <w:rsid w:val="00A34DF9"/>
    <w:rsid w:val="00A35345"/>
    <w:rsid w:val="00A35497"/>
    <w:rsid w:val="00A354AA"/>
    <w:rsid w:val="00A35A3A"/>
    <w:rsid w:val="00A35A97"/>
    <w:rsid w:val="00A361E3"/>
    <w:rsid w:val="00A362F7"/>
    <w:rsid w:val="00A36378"/>
    <w:rsid w:val="00A3662F"/>
    <w:rsid w:val="00A36AE4"/>
    <w:rsid w:val="00A37024"/>
    <w:rsid w:val="00A3717A"/>
    <w:rsid w:val="00A373A7"/>
    <w:rsid w:val="00A37962"/>
    <w:rsid w:val="00A37A1F"/>
    <w:rsid w:val="00A4079E"/>
    <w:rsid w:val="00A40EF8"/>
    <w:rsid w:val="00A41000"/>
    <w:rsid w:val="00A4197F"/>
    <w:rsid w:val="00A41AE0"/>
    <w:rsid w:val="00A41F03"/>
    <w:rsid w:val="00A42365"/>
    <w:rsid w:val="00A42544"/>
    <w:rsid w:val="00A427BF"/>
    <w:rsid w:val="00A427E9"/>
    <w:rsid w:val="00A429D6"/>
    <w:rsid w:val="00A42A45"/>
    <w:rsid w:val="00A437DF"/>
    <w:rsid w:val="00A43D76"/>
    <w:rsid w:val="00A44836"/>
    <w:rsid w:val="00A4493A"/>
    <w:rsid w:val="00A44C18"/>
    <w:rsid w:val="00A44CD0"/>
    <w:rsid w:val="00A45066"/>
    <w:rsid w:val="00A45B3C"/>
    <w:rsid w:val="00A45B4F"/>
    <w:rsid w:val="00A45BBC"/>
    <w:rsid w:val="00A45D1B"/>
    <w:rsid w:val="00A45ED8"/>
    <w:rsid w:val="00A473A2"/>
    <w:rsid w:val="00A47AB8"/>
    <w:rsid w:val="00A47C10"/>
    <w:rsid w:val="00A47E90"/>
    <w:rsid w:val="00A47F57"/>
    <w:rsid w:val="00A5040B"/>
    <w:rsid w:val="00A50A78"/>
    <w:rsid w:val="00A50BCC"/>
    <w:rsid w:val="00A51075"/>
    <w:rsid w:val="00A513D9"/>
    <w:rsid w:val="00A51990"/>
    <w:rsid w:val="00A519AF"/>
    <w:rsid w:val="00A5266D"/>
    <w:rsid w:val="00A52C26"/>
    <w:rsid w:val="00A5332F"/>
    <w:rsid w:val="00A53846"/>
    <w:rsid w:val="00A53F16"/>
    <w:rsid w:val="00A54731"/>
    <w:rsid w:val="00A54887"/>
    <w:rsid w:val="00A5521A"/>
    <w:rsid w:val="00A55354"/>
    <w:rsid w:val="00A556B0"/>
    <w:rsid w:val="00A5571D"/>
    <w:rsid w:val="00A55F41"/>
    <w:rsid w:val="00A56194"/>
    <w:rsid w:val="00A56694"/>
    <w:rsid w:val="00A5686C"/>
    <w:rsid w:val="00A56B8F"/>
    <w:rsid w:val="00A5722E"/>
    <w:rsid w:val="00A57714"/>
    <w:rsid w:val="00A578DF"/>
    <w:rsid w:val="00A57C29"/>
    <w:rsid w:val="00A57D55"/>
    <w:rsid w:val="00A57EBB"/>
    <w:rsid w:val="00A57F85"/>
    <w:rsid w:val="00A6022D"/>
    <w:rsid w:val="00A603B0"/>
    <w:rsid w:val="00A60714"/>
    <w:rsid w:val="00A6089F"/>
    <w:rsid w:val="00A61B53"/>
    <w:rsid w:val="00A6256C"/>
    <w:rsid w:val="00A62ABF"/>
    <w:rsid w:val="00A62F45"/>
    <w:rsid w:val="00A63066"/>
    <w:rsid w:val="00A63C89"/>
    <w:rsid w:val="00A63D3A"/>
    <w:rsid w:val="00A64387"/>
    <w:rsid w:val="00A6455C"/>
    <w:rsid w:val="00A64890"/>
    <w:rsid w:val="00A64FC2"/>
    <w:rsid w:val="00A6563B"/>
    <w:rsid w:val="00A65AB2"/>
    <w:rsid w:val="00A6606C"/>
    <w:rsid w:val="00A6644E"/>
    <w:rsid w:val="00A66881"/>
    <w:rsid w:val="00A669A3"/>
    <w:rsid w:val="00A66B04"/>
    <w:rsid w:val="00A66DEE"/>
    <w:rsid w:val="00A672AD"/>
    <w:rsid w:val="00A7005E"/>
    <w:rsid w:val="00A700EA"/>
    <w:rsid w:val="00A7029D"/>
    <w:rsid w:val="00A70623"/>
    <w:rsid w:val="00A70F27"/>
    <w:rsid w:val="00A71391"/>
    <w:rsid w:val="00A71706"/>
    <w:rsid w:val="00A71E27"/>
    <w:rsid w:val="00A7247E"/>
    <w:rsid w:val="00A72531"/>
    <w:rsid w:val="00A7276A"/>
    <w:rsid w:val="00A73541"/>
    <w:rsid w:val="00A73C42"/>
    <w:rsid w:val="00A73D1C"/>
    <w:rsid w:val="00A744B9"/>
    <w:rsid w:val="00A74946"/>
    <w:rsid w:val="00A75550"/>
    <w:rsid w:val="00A75FC4"/>
    <w:rsid w:val="00A761F5"/>
    <w:rsid w:val="00A76506"/>
    <w:rsid w:val="00A77599"/>
    <w:rsid w:val="00A776A3"/>
    <w:rsid w:val="00A77DA7"/>
    <w:rsid w:val="00A77E67"/>
    <w:rsid w:val="00A8051D"/>
    <w:rsid w:val="00A80A37"/>
    <w:rsid w:val="00A80EF5"/>
    <w:rsid w:val="00A814C0"/>
    <w:rsid w:val="00A8170B"/>
    <w:rsid w:val="00A81B7D"/>
    <w:rsid w:val="00A81E32"/>
    <w:rsid w:val="00A82701"/>
    <w:rsid w:val="00A82BE4"/>
    <w:rsid w:val="00A82E86"/>
    <w:rsid w:val="00A82E98"/>
    <w:rsid w:val="00A82F05"/>
    <w:rsid w:val="00A83C7E"/>
    <w:rsid w:val="00A8430F"/>
    <w:rsid w:val="00A85533"/>
    <w:rsid w:val="00A85DE4"/>
    <w:rsid w:val="00A85F3A"/>
    <w:rsid w:val="00A860B8"/>
    <w:rsid w:val="00A861F6"/>
    <w:rsid w:val="00A86B87"/>
    <w:rsid w:val="00A86D42"/>
    <w:rsid w:val="00A871B3"/>
    <w:rsid w:val="00A873E6"/>
    <w:rsid w:val="00A873FB"/>
    <w:rsid w:val="00A8775E"/>
    <w:rsid w:val="00A87793"/>
    <w:rsid w:val="00A87E5A"/>
    <w:rsid w:val="00A903AB"/>
    <w:rsid w:val="00A90402"/>
    <w:rsid w:val="00A904ED"/>
    <w:rsid w:val="00A907AE"/>
    <w:rsid w:val="00A90956"/>
    <w:rsid w:val="00A91015"/>
    <w:rsid w:val="00A91F6D"/>
    <w:rsid w:val="00A92754"/>
    <w:rsid w:val="00A92959"/>
    <w:rsid w:val="00A92F53"/>
    <w:rsid w:val="00A92F89"/>
    <w:rsid w:val="00A9303A"/>
    <w:rsid w:val="00A937D9"/>
    <w:rsid w:val="00A9395C"/>
    <w:rsid w:val="00A93992"/>
    <w:rsid w:val="00A94196"/>
    <w:rsid w:val="00A94D1D"/>
    <w:rsid w:val="00A94E14"/>
    <w:rsid w:val="00A94E8F"/>
    <w:rsid w:val="00A94EFE"/>
    <w:rsid w:val="00A95789"/>
    <w:rsid w:val="00A9582A"/>
    <w:rsid w:val="00A95B2F"/>
    <w:rsid w:val="00A95E55"/>
    <w:rsid w:val="00A96EC4"/>
    <w:rsid w:val="00A96F29"/>
    <w:rsid w:val="00A96F43"/>
    <w:rsid w:val="00A97076"/>
    <w:rsid w:val="00A973B9"/>
    <w:rsid w:val="00A97CB1"/>
    <w:rsid w:val="00AA041D"/>
    <w:rsid w:val="00AA0A6B"/>
    <w:rsid w:val="00AA128F"/>
    <w:rsid w:val="00AA15B6"/>
    <w:rsid w:val="00AA195A"/>
    <w:rsid w:val="00AA1D6F"/>
    <w:rsid w:val="00AA235E"/>
    <w:rsid w:val="00AA23FA"/>
    <w:rsid w:val="00AA273E"/>
    <w:rsid w:val="00AA2B02"/>
    <w:rsid w:val="00AA3072"/>
    <w:rsid w:val="00AA357C"/>
    <w:rsid w:val="00AA3F94"/>
    <w:rsid w:val="00AA409E"/>
    <w:rsid w:val="00AA459E"/>
    <w:rsid w:val="00AA5411"/>
    <w:rsid w:val="00AA546A"/>
    <w:rsid w:val="00AA549B"/>
    <w:rsid w:val="00AA559C"/>
    <w:rsid w:val="00AA5BD5"/>
    <w:rsid w:val="00AA5EC2"/>
    <w:rsid w:val="00AA6318"/>
    <w:rsid w:val="00AA727F"/>
    <w:rsid w:val="00AA73D4"/>
    <w:rsid w:val="00AA7C1F"/>
    <w:rsid w:val="00AA7DF5"/>
    <w:rsid w:val="00AB0665"/>
    <w:rsid w:val="00AB06D1"/>
    <w:rsid w:val="00AB07B0"/>
    <w:rsid w:val="00AB14DB"/>
    <w:rsid w:val="00AB1DE7"/>
    <w:rsid w:val="00AB2116"/>
    <w:rsid w:val="00AB21B2"/>
    <w:rsid w:val="00AB24A7"/>
    <w:rsid w:val="00AB2CD6"/>
    <w:rsid w:val="00AB33C2"/>
    <w:rsid w:val="00AB36CE"/>
    <w:rsid w:val="00AB3BAE"/>
    <w:rsid w:val="00AB3C90"/>
    <w:rsid w:val="00AB4229"/>
    <w:rsid w:val="00AB42A8"/>
    <w:rsid w:val="00AB4652"/>
    <w:rsid w:val="00AB48CF"/>
    <w:rsid w:val="00AB539A"/>
    <w:rsid w:val="00AB5835"/>
    <w:rsid w:val="00AB5945"/>
    <w:rsid w:val="00AB5EBA"/>
    <w:rsid w:val="00AB6129"/>
    <w:rsid w:val="00AB6156"/>
    <w:rsid w:val="00AB6312"/>
    <w:rsid w:val="00AB68A6"/>
    <w:rsid w:val="00AB6AA5"/>
    <w:rsid w:val="00AB6B85"/>
    <w:rsid w:val="00AB6E48"/>
    <w:rsid w:val="00AB7134"/>
    <w:rsid w:val="00AB73A5"/>
    <w:rsid w:val="00AB74A0"/>
    <w:rsid w:val="00AB78C0"/>
    <w:rsid w:val="00AB7928"/>
    <w:rsid w:val="00AB798A"/>
    <w:rsid w:val="00AB7B90"/>
    <w:rsid w:val="00AC06E3"/>
    <w:rsid w:val="00AC09AD"/>
    <w:rsid w:val="00AC16DA"/>
    <w:rsid w:val="00AC1C2B"/>
    <w:rsid w:val="00AC22F4"/>
    <w:rsid w:val="00AC233D"/>
    <w:rsid w:val="00AC2489"/>
    <w:rsid w:val="00AC2BCC"/>
    <w:rsid w:val="00AC2CAB"/>
    <w:rsid w:val="00AC360F"/>
    <w:rsid w:val="00AC3A8E"/>
    <w:rsid w:val="00AC432A"/>
    <w:rsid w:val="00AC47E3"/>
    <w:rsid w:val="00AC4E3F"/>
    <w:rsid w:val="00AC523E"/>
    <w:rsid w:val="00AC5545"/>
    <w:rsid w:val="00AC56E8"/>
    <w:rsid w:val="00AC56ED"/>
    <w:rsid w:val="00AC575E"/>
    <w:rsid w:val="00AC58E1"/>
    <w:rsid w:val="00AC5CC3"/>
    <w:rsid w:val="00AC631C"/>
    <w:rsid w:val="00AC6772"/>
    <w:rsid w:val="00AC6A1F"/>
    <w:rsid w:val="00AC79D1"/>
    <w:rsid w:val="00AD053F"/>
    <w:rsid w:val="00AD06B4"/>
    <w:rsid w:val="00AD0765"/>
    <w:rsid w:val="00AD1A1D"/>
    <w:rsid w:val="00AD1C51"/>
    <w:rsid w:val="00AD1FA6"/>
    <w:rsid w:val="00AD2A34"/>
    <w:rsid w:val="00AD3330"/>
    <w:rsid w:val="00AD340E"/>
    <w:rsid w:val="00AD3F6C"/>
    <w:rsid w:val="00AD4131"/>
    <w:rsid w:val="00AD4280"/>
    <w:rsid w:val="00AD496F"/>
    <w:rsid w:val="00AD5063"/>
    <w:rsid w:val="00AD5ACB"/>
    <w:rsid w:val="00AD660C"/>
    <w:rsid w:val="00AD6A5E"/>
    <w:rsid w:val="00AD7639"/>
    <w:rsid w:val="00AE02AF"/>
    <w:rsid w:val="00AE0519"/>
    <w:rsid w:val="00AE09B0"/>
    <w:rsid w:val="00AE0DA8"/>
    <w:rsid w:val="00AE15F2"/>
    <w:rsid w:val="00AE278D"/>
    <w:rsid w:val="00AE2BA9"/>
    <w:rsid w:val="00AE2EB7"/>
    <w:rsid w:val="00AE3DB1"/>
    <w:rsid w:val="00AE3DE0"/>
    <w:rsid w:val="00AE40E9"/>
    <w:rsid w:val="00AE4481"/>
    <w:rsid w:val="00AE456E"/>
    <w:rsid w:val="00AE465D"/>
    <w:rsid w:val="00AE5433"/>
    <w:rsid w:val="00AE563E"/>
    <w:rsid w:val="00AE56A5"/>
    <w:rsid w:val="00AE5E2D"/>
    <w:rsid w:val="00AE5F8E"/>
    <w:rsid w:val="00AE6440"/>
    <w:rsid w:val="00AE66B7"/>
    <w:rsid w:val="00AE6D26"/>
    <w:rsid w:val="00AE73EA"/>
    <w:rsid w:val="00AE7B0A"/>
    <w:rsid w:val="00AE7C7D"/>
    <w:rsid w:val="00AE7E32"/>
    <w:rsid w:val="00AF0340"/>
    <w:rsid w:val="00AF0BA0"/>
    <w:rsid w:val="00AF0C74"/>
    <w:rsid w:val="00AF0DC3"/>
    <w:rsid w:val="00AF0F4A"/>
    <w:rsid w:val="00AF10D8"/>
    <w:rsid w:val="00AF14BA"/>
    <w:rsid w:val="00AF1992"/>
    <w:rsid w:val="00AF1F27"/>
    <w:rsid w:val="00AF2BC5"/>
    <w:rsid w:val="00AF2C03"/>
    <w:rsid w:val="00AF320A"/>
    <w:rsid w:val="00AF322E"/>
    <w:rsid w:val="00AF39D1"/>
    <w:rsid w:val="00AF3B79"/>
    <w:rsid w:val="00AF3FD5"/>
    <w:rsid w:val="00AF410B"/>
    <w:rsid w:val="00AF41E2"/>
    <w:rsid w:val="00AF48D6"/>
    <w:rsid w:val="00AF4B32"/>
    <w:rsid w:val="00AF4D4A"/>
    <w:rsid w:val="00AF59B2"/>
    <w:rsid w:val="00AF5CDD"/>
    <w:rsid w:val="00AF6059"/>
    <w:rsid w:val="00AF640D"/>
    <w:rsid w:val="00AF6602"/>
    <w:rsid w:val="00AF6701"/>
    <w:rsid w:val="00AF6811"/>
    <w:rsid w:val="00AF6997"/>
    <w:rsid w:val="00AF6C28"/>
    <w:rsid w:val="00AF7A29"/>
    <w:rsid w:val="00B00093"/>
    <w:rsid w:val="00B007C4"/>
    <w:rsid w:val="00B01510"/>
    <w:rsid w:val="00B01633"/>
    <w:rsid w:val="00B016E9"/>
    <w:rsid w:val="00B01AA6"/>
    <w:rsid w:val="00B01B0D"/>
    <w:rsid w:val="00B024BC"/>
    <w:rsid w:val="00B0274A"/>
    <w:rsid w:val="00B02AC6"/>
    <w:rsid w:val="00B02CCB"/>
    <w:rsid w:val="00B02F07"/>
    <w:rsid w:val="00B035D0"/>
    <w:rsid w:val="00B03ABC"/>
    <w:rsid w:val="00B03B24"/>
    <w:rsid w:val="00B03BD4"/>
    <w:rsid w:val="00B0442F"/>
    <w:rsid w:val="00B0445E"/>
    <w:rsid w:val="00B04C28"/>
    <w:rsid w:val="00B06878"/>
    <w:rsid w:val="00B073B9"/>
    <w:rsid w:val="00B07614"/>
    <w:rsid w:val="00B0798A"/>
    <w:rsid w:val="00B10BA8"/>
    <w:rsid w:val="00B1157C"/>
    <w:rsid w:val="00B11694"/>
    <w:rsid w:val="00B11AEF"/>
    <w:rsid w:val="00B11EF2"/>
    <w:rsid w:val="00B120D2"/>
    <w:rsid w:val="00B12A89"/>
    <w:rsid w:val="00B12C85"/>
    <w:rsid w:val="00B12EB4"/>
    <w:rsid w:val="00B13301"/>
    <w:rsid w:val="00B13C92"/>
    <w:rsid w:val="00B13DA0"/>
    <w:rsid w:val="00B14327"/>
    <w:rsid w:val="00B147A9"/>
    <w:rsid w:val="00B152EF"/>
    <w:rsid w:val="00B1609D"/>
    <w:rsid w:val="00B160BC"/>
    <w:rsid w:val="00B16B13"/>
    <w:rsid w:val="00B16FC0"/>
    <w:rsid w:val="00B170BE"/>
    <w:rsid w:val="00B17F06"/>
    <w:rsid w:val="00B20014"/>
    <w:rsid w:val="00B2026E"/>
    <w:rsid w:val="00B20307"/>
    <w:rsid w:val="00B2079B"/>
    <w:rsid w:val="00B2080E"/>
    <w:rsid w:val="00B20E9C"/>
    <w:rsid w:val="00B21491"/>
    <w:rsid w:val="00B21655"/>
    <w:rsid w:val="00B220FA"/>
    <w:rsid w:val="00B22228"/>
    <w:rsid w:val="00B22484"/>
    <w:rsid w:val="00B22A7E"/>
    <w:rsid w:val="00B22D05"/>
    <w:rsid w:val="00B23169"/>
    <w:rsid w:val="00B23786"/>
    <w:rsid w:val="00B23B86"/>
    <w:rsid w:val="00B23E4E"/>
    <w:rsid w:val="00B240B8"/>
    <w:rsid w:val="00B24933"/>
    <w:rsid w:val="00B24EFC"/>
    <w:rsid w:val="00B25310"/>
    <w:rsid w:val="00B2555C"/>
    <w:rsid w:val="00B25AC7"/>
    <w:rsid w:val="00B25EE1"/>
    <w:rsid w:val="00B26004"/>
    <w:rsid w:val="00B264C4"/>
    <w:rsid w:val="00B2685C"/>
    <w:rsid w:val="00B26DBF"/>
    <w:rsid w:val="00B276C3"/>
    <w:rsid w:val="00B27A3B"/>
    <w:rsid w:val="00B300CB"/>
    <w:rsid w:val="00B30414"/>
    <w:rsid w:val="00B30834"/>
    <w:rsid w:val="00B30E8C"/>
    <w:rsid w:val="00B30FD1"/>
    <w:rsid w:val="00B314AE"/>
    <w:rsid w:val="00B31D21"/>
    <w:rsid w:val="00B31EFB"/>
    <w:rsid w:val="00B31F71"/>
    <w:rsid w:val="00B32057"/>
    <w:rsid w:val="00B322BF"/>
    <w:rsid w:val="00B3232E"/>
    <w:rsid w:val="00B32D37"/>
    <w:rsid w:val="00B32E48"/>
    <w:rsid w:val="00B32EFA"/>
    <w:rsid w:val="00B33278"/>
    <w:rsid w:val="00B33460"/>
    <w:rsid w:val="00B33637"/>
    <w:rsid w:val="00B338B1"/>
    <w:rsid w:val="00B33E0D"/>
    <w:rsid w:val="00B33F1B"/>
    <w:rsid w:val="00B34973"/>
    <w:rsid w:val="00B35768"/>
    <w:rsid w:val="00B35840"/>
    <w:rsid w:val="00B358D8"/>
    <w:rsid w:val="00B35E14"/>
    <w:rsid w:val="00B3624C"/>
    <w:rsid w:val="00B36250"/>
    <w:rsid w:val="00B36553"/>
    <w:rsid w:val="00B36B34"/>
    <w:rsid w:val="00B36ED8"/>
    <w:rsid w:val="00B37B29"/>
    <w:rsid w:val="00B37EC2"/>
    <w:rsid w:val="00B37F53"/>
    <w:rsid w:val="00B4071F"/>
    <w:rsid w:val="00B409EB"/>
    <w:rsid w:val="00B40E75"/>
    <w:rsid w:val="00B413CB"/>
    <w:rsid w:val="00B41747"/>
    <w:rsid w:val="00B41D6A"/>
    <w:rsid w:val="00B424CB"/>
    <w:rsid w:val="00B42943"/>
    <w:rsid w:val="00B429E5"/>
    <w:rsid w:val="00B42B1E"/>
    <w:rsid w:val="00B43518"/>
    <w:rsid w:val="00B440E9"/>
    <w:rsid w:val="00B44B90"/>
    <w:rsid w:val="00B44FCC"/>
    <w:rsid w:val="00B459B6"/>
    <w:rsid w:val="00B459BC"/>
    <w:rsid w:val="00B45FA8"/>
    <w:rsid w:val="00B46197"/>
    <w:rsid w:val="00B4675D"/>
    <w:rsid w:val="00B46926"/>
    <w:rsid w:val="00B46CB4"/>
    <w:rsid w:val="00B46EDA"/>
    <w:rsid w:val="00B47804"/>
    <w:rsid w:val="00B47FAE"/>
    <w:rsid w:val="00B47FCA"/>
    <w:rsid w:val="00B50925"/>
    <w:rsid w:val="00B50F2C"/>
    <w:rsid w:val="00B51344"/>
    <w:rsid w:val="00B51480"/>
    <w:rsid w:val="00B515D5"/>
    <w:rsid w:val="00B515F1"/>
    <w:rsid w:val="00B51898"/>
    <w:rsid w:val="00B51B6B"/>
    <w:rsid w:val="00B51C24"/>
    <w:rsid w:val="00B51E5E"/>
    <w:rsid w:val="00B52B75"/>
    <w:rsid w:val="00B53279"/>
    <w:rsid w:val="00B5386F"/>
    <w:rsid w:val="00B54923"/>
    <w:rsid w:val="00B556F6"/>
    <w:rsid w:val="00B55AA0"/>
    <w:rsid w:val="00B563FE"/>
    <w:rsid w:val="00B56B43"/>
    <w:rsid w:val="00B57650"/>
    <w:rsid w:val="00B57984"/>
    <w:rsid w:val="00B579FF"/>
    <w:rsid w:val="00B57F78"/>
    <w:rsid w:val="00B600A9"/>
    <w:rsid w:val="00B6034F"/>
    <w:rsid w:val="00B609E1"/>
    <w:rsid w:val="00B60F97"/>
    <w:rsid w:val="00B62076"/>
    <w:rsid w:val="00B622CA"/>
    <w:rsid w:val="00B62ADB"/>
    <w:rsid w:val="00B62BA5"/>
    <w:rsid w:val="00B62C7A"/>
    <w:rsid w:val="00B62D15"/>
    <w:rsid w:val="00B62E6F"/>
    <w:rsid w:val="00B63296"/>
    <w:rsid w:val="00B6390A"/>
    <w:rsid w:val="00B6392B"/>
    <w:rsid w:val="00B63E14"/>
    <w:rsid w:val="00B63F70"/>
    <w:rsid w:val="00B63FE4"/>
    <w:rsid w:val="00B643B0"/>
    <w:rsid w:val="00B64702"/>
    <w:rsid w:val="00B64922"/>
    <w:rsid w:val="00B65A0E"/>
    <w:rsid w:val="00B65AD7"/>
    <w:rsid w:val="00B66BAF"/>
    <w:rsid w:val="00B6719C"/>
    <w:rsid w:val="00B679DB"/>
    <w:rsid w:val="00B67DF4"/>
    <w:rsid w:val="00B704D7"/>
    <w:rsid w:val="00B70568"/>
    <w:rsid w:val="00B709D1"/>
    <w:rsid w:val="00B70A96"/>
    <w:rsid w:val="00B70C3E"/>
    <w:rsid w:val="00B70EDC"/>
    <w:rsid w:val="00B71162"/>
    <w:rsid w:val="00B714D3"/>
    <w:rsid w:val="00B71E92"/>
    <w:rsid w:val="00B722C6"/>
    <w:rsid w:val="00B7240A"/>
    <w:rsid w:val="00B72504"/>
    <w:rsid w:val="00B72B1B"/>
    <w:rsid w:val="00B72B6B"/>
    <w:rsid w:val="00B72B91"/>
    <w:rsid w:val="00B7313C"/>
    <w:rsid w:val="00B738A0"/>
    <w:rsid w:val="00B73D0D"/>
    <w:rsid w:val="00B73FA1"/>
    <w:rsid w:val="00B750C3"/>
    <w:rsid w:val="00B759DE"/>
    <w:rsid w:val="00B76604"/>
    <w:rsid w:val="00B7721B"/>
    <w:rsid w:val="00B775F5"/>
    <w:rsid w:val="00B77B13"/>
    <w:rsid w:val="00B8130A"/>
    <w:rsid w:val="00B81456"/>
    <w:rsid w:val="00B8177B"/>
    <w:rsid w:val="00B817D9"/>
    <w:rsid w:val="00B81BAB"/>
    <w:rsid w:val="00B81E15"/>
    <w:rsid w:val="00B823AF"/>
    <w:rsid w:val="00B828E3"/>
    <w:rsid w:val="00B82B02"/>
    <w:rsid w:val="00B832A5"/>
    <w:rsid w:val="00B83D32"/>
    <w:rsid w:val="00B845F2"/>
    <w:rsid w:val="00B84879"/>
    <w:rsid w:val="00B84B2A"/>
    <w:rsid w:val="00B84FE0"/>
    <w:rsid w:val="00B850CF"/>
    <w:rsid w:val="00B85E9F"/>
    <w:rsid w:val="00B87535"/>
    <w:rsid w:val="00B87D79"/>
    <w:rsid w:val="00B87E76"/>
    <w:rsid w:val="00B90292"/>
    <w:rsid w:val="00B90C06"/>
    <w:rsid w:val="00B912CB"/>
    <w:rsid w:val="00B91631"/>
    <w:rsid w:val="00B921BE"/>
    <w:rsid w:val="00B9281C"/>
    <w:rsid w:val="00B92FCA"/>
    <w:rsid w:val="00B9389D"/>
    <w:rsid w:val="00B93EF7"/>
    <w:rsid w:val="00B940D2"/>
    <w:rsid w:val="00B9426F"/>
    <w:rsid w:val="00B94406"/>
    <w:rsid w:val="00B94414"/>
    <w:rsid w:val="00B946F2"/>
    <w:rsid w:val="00B94BA1"/>
    <w:rsid w:val="00B94E92"/>
    <w:rsid w:val="00B959C0"/>
    <w:rsid w:val="00B95BF4"/>
    <w:rsid w:val="00B9637B"/>
    <w:rsid w:val="00B963E5"/>
    <w:rsid w:val="00B96639"/>
    <w:rsid w:val="00B967DB"/>
    <w:rsid w:val="00B97503"/>
    <w:rsid w:val="00B978BD"/>
    <w:rsid w:val="00B97B60"/>
    <w:rsid w:val="00BA0107"/>
    <w:rsid w:val="00BA017C"/>
    <w:rsid w:val="00BA0A81"/>
    <w:rsid w:val="00BA0C28"/>
    <w:rsid w:val="00BA1899"/>
    <w:rsid w:val="00BA21BA"/>
    <w:rsid w:val="00BA2216"/>
    <w:rsid w:val="00BA25F0"/>
    <w:rsid w:val="00BA2843"/>
    <w:rsid w:val="00BA3756"/>
    <w:rsid w:val="00BA3A99"/>
    <w:rsid w:val="00BA3BF0"/>
    <w:rsid w:val="00BA3DFA"/>
    <w:rsid w:val="00BA404F"/>
    <w:rsid w:val="00BA4730"/>
    <w:rsid w:val="00BA4AB4"/>
    <w:rsid w:val="00BA4CCC"/>
    <w:rsid w:val="00BA5C0A"/>
    <w:rsid w:val="00BA5E57"/>
    <w:rsid w:val="00BA5FE5"/>
    <w:rsid w:val="00BA6F6E"/>
    <w:rsid w:val="00BA728B"/>
    <w:rsid w:val="00BA7E4A"/>
    <w:rsid w:val="00BB00F5"/>
    <w:rsid w:val="00BB037E"/>
    <w:rsid w:val="00BB073E"/>
    <w:rsid w:val="00BB0AD5"/>
    <w:rsid w:val="00BB0FAD"/>
    <w:rsid w:val="00BB1021"/>
    <w:rsid w:val="00BB1370"/>
    <w:rsid w:val="00BB141A"/>
    <w:rsid w:val="00BB1B21"/>
    <w:rsid w:val="00BB1E64"/>
    <w:rsid w:val="00BB2FB3"/>
    <w:rsid w:val="00BB30EA"/>
    <w:rsid w:val="00BB3110"/>
    <w:rsid w:val="00BB315B"/>
    <w:rsid w:val="00BB388E"/>
    <w:rsid w:val="00BB3C09"/>
    <w:rsid w:val="00BB4D4F"/>
    <w:rsid w:val="00BB51A1"/>
    <w:rsid w:val="00BB5730"/>
    <w:rsid w:val="00BB60AF"/>
    <w:rsid w:val="00BB686A"/>
    <w:rsid w:val="00BB7D9F"/>
    <w:rsid w:val="00BC0AC7"/>
    <w:rsid w:val="00BC0D0F"/>
    <w:rsid w:val="00BC0D1D"/>
    <w:rsid w:val="00BC0EB8"/>
    <w:rsid w:val="00BC10A3"/>
    <w:rsid w:val="00BC13AE"/>
    <w:rsid w:val="00BC144A"/>
    <w:rsid w:val="00BC1E2F"/>
    <w:rsid w:val="00BC245E"/>
    <w:rsid w:val="00BC2858"/>
    <w:rsid w:val="00BC2DC1"/>
    <w:rsid w:val="00BC2F76"/>
    <w:rsid w:val="00BC3C30"/>
    <w:rsid w:val="00BC3FD4"/>
    <w:rsid w:val="00BC404D"/>
    <w:rsid w:val="00BC4AC7"/>
    <w:rsid w:val="00BC4F60"/>
    <w:rsid w:val="00BC5062"/>
    <w:rsid w:val="00BC5402"/>
    <w:rsid w:val="00BC5CA3"/>
    <w:rsid w:val="00BC5F14"/>
    <w:rsid w:val="00BC624C"/>
    <w:rsid w:val="00BC625E"/>
    <w:rsid w:val="00BC66B7"/>
    <w:rsid w:val="00BC6787"/>
    <w:rsid w:val="00BC68DF"/>
    <w:rsid w:val="00BC6A20"/>
    <w:rsid w:val="00BC6C62"/>
    <w:rsid w:val="00BC7496"/>
    <w:rsid w:val="00BC77E5"/>
    <w:rsid w:val="00BC7D38"/>
    <w:rsid w:val="00BD116A"/>
    <w:rsid w:val="00BD1520"/>
    <w:rsid w:val="00BD186B"/>
    <w:rsid w:val="00BD1A7F"/>
    <w:rsid w:val="00BD2317"/>
    <w:rsid w:val="00BD2F55"/>
    <w:rsid w:val="00BD30AC"/>
    <w:rsid w:val="00BD31EA"/>
    <w:rsid w:val="00BD3603"/>
    <w:rsid w:val="00BD380B"/>
    <w:rsid w:val="00BD42B3"/>
    <w:rsid w:val="00BD4312"/>
    <w:rsid w:val="00BD512B"/>
    <w:rsid w:val="00BD5440"/>
    <w:rsid w:val="00BD5873"/>
    <w:rsid w:val="00BD5A10"/>
    <w:rsid w:val="00BD5BBE"/>
    <w:rsid w:val="00BD5DC3"/>
    <w:rsid w:val="00BD6433"/>
    <w:rsid w:val="00BD748E"/>
    <w:rsid w:val="00BD792D"/>
    <w:rsid w:val="00BE0F0D"/>
    <w:rsid w:val="00BE15CB"/>
    <w:rsid w:val="00BE1B8E"/>
    <w:rsid w:val="00BE1E6C"/>
    <w:rsid w:val="00BE2865"/>
    <w:rsid w:val="00BE290D"/>
    <w:rsid w:val="00BE2BA3"/>
    <w:rsid w:val="00BE2BE0"/>
    <w:rsid w:val="00BE344C"/>
    <w:rsid w:val="00BE42A8"/>
    <w:rsid w:val="00BE457B"/>
    <w:rsid w:val="00BE4692"/>
    <w:rsid w:val="00BE48AD"/>
    <w:rsid w:val="00BE4B5D"/>
    <w:rsid w:val="00BE56DB"/>
    <w:rsid w:val="00BE61D7"/>
    <w:rsid w:val="00BE652A"/>
    <w:rsid w:val="00BE66F9"/>
    <w:rsid w:val="00BE6892"/>
    <w:rsid w:val="00BE68E9"/>
    <w:rsid w:val="00BE6B13"/>
    <w:rsid w:val="00BE6CFB"/>
    <w:rsid w:val="00BE7212"/>
    <w:rsid w:val="00BE7A60"/>
    <w:rsid w:val="00BE7EB2"/>
    <w:rsid w:val="00BF0832"/>
    <w:rsid w:val="00BF08ED"/>
    <w:rsid w:val="00BF0C87"/>
    <w:rsid w:val="00BF10EC"/>
    <w:rsid w:val="00BF11B2"/>
    <w:rsid w:val="00BF14EE"/>
    <w:rsid w:val="00BF1812"/>
    <w:rsid w:val="00BF1D65"/>
    <w:rsid w:val="00BF2263"/>
    <w:rsid w:val="00BF2BE5"/>
    <w:rsid w:val="00BF3010"/>
    <w:rsid w:val="00BF3336"/>
    <w:rsid w:val="00BF33EE"/>
    <w:rsid w:val="00BF3DBF"/>
    <w:rsid w:val="00BF3FD5"/>
    <w:rsid w:val="00BF4326"/>
    <w:rsid w:val="00BF4B5C"/>
    <w:rsid w:val="00BF5518"/>
    <w:rsid w:val="00BF55E2"/>
    <w:rsid w:val="00BF5A80"/>
    <w:rsid w:val="00BF5DC0"/>
    <w:rsid w:val="00BF66A3"/>
    <w:rsid w:val="00BF6E8E"/>
    <w:rsid w:val="00BF6FC3"/>
    <w:rsid w:val="00BF7BF1"/>
    <w:rsid w:val="00C00185"/>
    <w:rsid w:val="00C00288"/>
    <w:rsid w:val="00C00A91"/>
    <w:rsid w:val="00C01144"/>
    <w:rsid w:val="00C01219"/>
    <w:rsid w:val="00C013B8"/>
    <w:rsid w:val="00C01531"/>
    <w:rsid w:val="00C0196B"/>
    <w:rsid w:val="00C01BE8"/>
    <w:rsid w:val="00C01F1A"/>
    <w:rsid w:val="00C01F7C"/>
    <w:rsid w:val="00C027C8"/>
    <w:rsid w:val="00C02D21"/>
    <w:rsid w:val="00C02EEF"/>
    <w:rsid w:val="00C03605"/>
    <w:rsid w:val="00C038E7"/>
    <w:rsid w:val="00C03A0C"/>
    <w:rsid w:val="00C03B68"/>
    <w:rsid w:val="00C03D07"/>
    <w:rsid w:val="00C03D40"/>
    <w:rsid w:val="00C03DF2"/>
    <w:rsid w:val="00C03F01"/>
    <w:rsid w:val="00C03FB1"/>
    <w:rsid w:val="00C04249"/>
    <w:rsid w:val="00C04550"/>
    <w:rsid w:val="00C046C1"/>
    <w:rsid w:val="00C047A5"/>
    <w:rsid w:val="00C0487C"/>
    <w:rsid w:val="00C049A6"/>
    <w:rsid w:val="00C04A21"/>
    <w:rsid w:val="00C04A6B"/>
    <w:rsid w:val="00C04BF0"/>
    <w:rsid w:val="00C04FF3"/>
    <w:rsid w:val="00C0504E"/>
    <w:rsid w:val="00C05141"/>
    <w:rsid w:val="00C05841"/>
    <w:rsid w:val="00C0590D"/>
    <w:rsid w:val="00C0594A"/>
    <w:rsid w:val="00C05AF0"/>
    <w:rsid w:val="00C05D88"/>
    <w:rsid w:val="00C0687F"/>
    <w:rsid w:val="00C06B2D"/>
    <w:rsid w:val="00C0740A"/>
    <w:rsid w:val="00C077BC"/>
    <w:rsid w:val="00C1002A"/>
    <w:rsid w:val="00C100EB"/>
    <w:rsid w:val="00C1018D"/>
    <w:rsid w:val="00C10310"/>
    <w:rsid w:val="00C10396"/>
    <w:rsid w:val="00C105AE"/>
    <w:rsid w:val="00C10C14"/>
    <w:rsid w:val="00C10C25"/>
    <w:rsid w:val="00C10C75"/>
    <w:rsid w:val="00C10F1F"/>
    <w:rsid w:val="00C10F21"/>
    <w:rsid w:val="00C112D7"/>
    <w:rsid w:val="00C11E07"/>
    <w:rsid w:val="00C12BF6"/>
    <w:rsid w:val="00C12EB0"/>
    <w:rsid w:val="00C13639"/>
    <w:rsid w:val="00C1368F"/>
    <w:rsid w:val="00C13AB5"/>
    <w:rsid w:val="00C13D0E"/>
    <w:rsid w:val="00C14336"/>
    <w:rsid w:val="00C15012"/>
    <w:rsid w:val="00C1513D"/>
    <w:rsid w:val="00C153F8"/>
    <w:rsid w:val="00C157E6"/>
    <w:rsid w:val="00C1645B"/>
    <w:rsid w:val="00C16A8B"/>
    <w:rsid w:val="00C16AC1"/>
    <w:rsid w:val="00C17004"/>
    <w:rsid w:val="00C1742B"/>
    <w:rsid w:val="00C17590"/>
    <w:rsid w:val="00C202C1"/>
    <w:rsid w:val="00C2038B"/>
    <w:rsid w:val="00C20E52"/>
    <w:rsid w:val="00C211F3"/>
    <w:rsid w:val="00C211FF"/>
    <w:rsid w:val="00C21290"/>
    <w:rsid w:val="00C212FC"/>
    <w:rsid w:val="00C2145B"/>
    <w:rsid w:val="00C214EC"/>
    <w:rsid w:val="00C2191E"/>
    <w:rsid w:val="00C219AE"/>
    <w:rsid w:val="00C223E5"/>
    <w:rsid w:val="00C230E3"/>
    <w:rsid w:val="00C24113"/>
    <w:rsid w:val="00C24275"/>
    <w:rsid w:val="00C24916"/>
    <w:rsid w:val="00C2577B"/>
    <w:rsid w:val="00C25943"/>
    <w:rsid w:val="00C261A8"/>
    <w:rsid w:val="00C261CB"/>
    <w:rsid w:val="00C26279"/>
    <w:rsid w:val="00C2660E"/>
    <w:rsid w:val="00C26770"/>
    <w:rsid w:val="00C268AF"/>
    <w:rsid w:val="00C279AA"/>
    <w:rsid w:val="00C27B9B"/>
    <w:rsid w:val="00C30379"/>
    <w:rsid w:val="00C30381"/>
    <w:rsid w:val="00C3047A"/>
    <w:rsid w:val="00C3066D"/>
    <w:rsid w:val="00C30C9A"/>
    <w:rsid w:val="00C30D0F"/>
    <w:rsid w:val="00C31904"/>
    <w:rsid w:val="00C3192E"/>
    <w:rsid w:val="00C319C9"/>
    <w:rsid w:val="00C31FE2"/>
    <w:rsid w:val="00C32417"/>
    <w:rsid w:val="00C3270D"/>
    <w:rsid w:val="00C32771"/>
    <w:rsid w:val="00C3282F"/>
    <w:rsid w:val="00C32B14"/>
    <w:rsid w:val="00C32BF7"/>
    <w:rsid w:val="00C33886"/>
    <w:rsid w:val="00C33F7B"/>
    <w:rsid w:val="00C34192"/>
    <w:rsid w:val="00C341CF"/>
    <w:rsid w:val="00C3440B"/>
    <w:rsid w:val="00C344B2"/>
    <w:rsid w:val="00C345EA"/>
    <w:rsid w:val="00C34B58"/>
    <w:rsid w:val="00C34B6F"/>
    <w:rsid w:val="00C34CC1"/>
    <w:rsid w:val="00C34ECB"/>
    <w:rsid w:val="00C353D3"/>
    <w:rsid w:val="00C356C6"/>
    <w:rsid w:val="00C356EC"/>
    <w:rsid w:val="00C35A11"/>
    <w:rsid w:val="00C35F9F"/>
    <w:rsid w:val="00C371D4"/>
    <w:rsid w:val="00C373F0"/>
    <w:rsid w:val="00C37411"/>
    <w:rsid w:val="00C37A13"/>
    <w:rsid w:val="00C37C5D"/>
    <w:rsid w:val="00C40234"/>
    <w:rsid w:val="00C4090D"/>
    <w:rsid w:val="00C410BC"/>
    <w:rsid w:val="00C41746"/>
    <w:rsid w:val="00C41917"/>
    <w:rsid w:val="00C419A8"/>
    <w:rsid w:val="00C41A97"/>
    <w:rsid w:val="00C426EB"/>
    <w:rsid w:val="00C42786"/>
    <w:rsid w:val="00C42857"/>
    <w:rsid w:val="00C42B87"/>
    <w:rsid w:val="00C42C0B"/>
    <w:rsid w:val="00C42FFC"/>
    <w:rsid w:val="00C44042"/>
    <w:rsid w:val="00C46A33"/>
    <w:rsid w:val="00C46A35"/>
    <w:rsid w:val="00C46A74"/>
    <w:rsid w:val="00C46A82"/>
    <w:rsid w:val="00C470FF"/>
    <w:rsid w:val="00C4755A"/>
    <w:rsid w:val="00C4772D"/>
    <w:rsid w:val="00C47B09"/>
    <w:rsid w:val="00C50970"/>
    <w:rsid w:val="00C50C58"/>
    <w:rsid w:val="00C51886"/>
    <w:rsid w:val="00C51CEC"/>
    <w:rsid w:val="00C51ECF"/>
    <w:rsid w:val="00C52246"/>
    <w:rsid w:val="00C52BC6"/>
    <w:rsid w:val="00C538E4"/>
    <w:rsid w:val="00C53AF2"/>
    <w:rsid w:val="00C53CCD"/>
    <w:rsid w:val="00C53E0C"/>
    <w:rsid w:val="00C54555"/>
    <w:rsid w:val="00C547D1"/>
    <w:rsid w:val="00C549FE"/>
    <w:rsid w:val="00C54A0A"/>
    <w:rsid w:val="00C54BEB"/>
    <w:rsid w:val="00C550D2"/>
    <w:rsid w:val="00C553EC"/>
    <w:rsid w:val="00C555CC"/>
    <w:rsid w:val="00C5639E"/>
    <w:rsid w:val="00C56977"/>
    <w:rsid w:val="00C56CE0"/>
    <w:rsid w:val="00C571D8"/>
    <w:rsid w:val="00C57868"/>
    <w:rsid w:val="00C57D03"/>
    <w:rsid w:val="00C6034D"/>
    <w:rsid w:val="00C605ED"/>
    <w:rsid w:val="00C6079F"/>
    <w:rsid w:val="00C61375"/>
    <w:rsid w:val="00C61A6E"/>
    <w:rsid w:val="00C62943"/>
    <w:rsid w:val="00C62EF4"/>
    <w:rsid w:val="00C63197"/>
    <w:rsid w:val="00C6368C"/>
    <w:rsid w:val="00C639BF"/>
    <w:rsid w:val="00C63B96"/>
    <w:rsid w:val="00C641F8"/>
    <w:rsid w:val="00C642D0"/>
    <w:rsid w:val="00C643C5"/>
    <w:rsid w:val="00C644B0"/>
    <w:rsid w:val="00C64589"/>
    <w:rsid w:val="00C64BF9"/>
    <w:rsid w:val="00C652EF"/>
    <w:rsid w:val="00C661A8"/>
    <w:rsid w:val="00C66698"/>
    <w:rsid w:val="00C668B2"/>
    <w:rsid w:val="00C66F0A"/>
    <w:rsid w:val="00C670B6"/>
    <w:rsid w:val="00C67221"/>
    <w:rsid w:val="00C67284"/>
    <w:rsid w:val="00C679AD"/>
    <w:rsid w:val="00C67ACB"/>
    <w:rsid w:val="00C67D6C"/>
    <w:rsid w:val="00C703F0"/>
    <w:rsid w:val="00C70670"/>
    <w:rsid w:val="00C70AD8"/>
    <w:rsid w:val="00C70D65"/>
    <w:rsid w:val="00C70D77"/>
    <w:rsid w:val="00C713FF"/>
    <w:rsid w:val="00C7144F"/>
    <w:rsid w:val="00C714CE"/>
    <w:rsid w:val="00C717D1"/>
    <w:rsid w:val="00C71C02"/>
    <w:rsid w:val="00C71CC6"/>
    <w:rsid w:val="00C721E0"/>
    <w:rsid w:val="00C722C9"/>
    <w:rsid w:val="00C72357"/>
    <w:rsid w:val="00C72E62"/>
    <w:rsid w:val="00C72FBA"/>
    <w:rsid w:val="00C74908"/>
    <w:rsid w:val="00C753B6"/>
    <w:rsid w:val="00C759B2"/>
    <w:rsid w:val="00C75A6C"/>
    <w:rsid w:val="00C75ABA"/>
    <w:rsid w:val="00C75C67"/>
    <w:rsid w:val="00C75D43"/>
    <w:rsid w:val="00C75FF9"/>
    <w:rsid w:val="00C763F3"/>
    <w:rsid w:val="00C76909"/>
    <w:rsid w:val="00C76FCB"/>
    <w:rsid w:val="00C773E9"/>
    <w:rsid w:val="00C77D0A"/>
    <w:rsid w:val="00C77DE8"/>
    <w:rsid w:val="00C812A8"/>
    <w:rsid w:val="00C812D8"/>
    <w:rsid w:val="00C81374"/>
    <w:rsid w:val="00C8142F"/>
    <w:rsid w:val="00C82442"/>
    <w:rsid w:val="00C8246A"/>
    <w:rsid w:val="00C82969"/>
    <w:rsid w:val="00C82B69"/>
    <w:rsid w:val="00C82CAF"/>
    <w:rsid w:val="00C834F0"/>
    <w:rsid w:val="00C83D32"/>
    <w:rsid w:val="00C83DBD"/>
    <w:rsid w:val="00C83F73"/>
    <w:rsid w:val="00C84105"/>
    <w:rsid w:val="00C8411E"/>
    <w:rsid w:val="00C8448C"/>
    <w:rsid w:val="00C84861"/>
    <w:rsid w:val="00C849E6"/>
    <w:rsid w:val="00C84A70"/>
    <w:rsid w:val="00C84B5E"/>
    <w:rsid w:val="00C84C90"/>
    <w:rsid w:val="00C85177"/>
    <w:rsid w:val="00C85190"/>
    <w:rsid w:val="00C8538C"/>
    <w:rsid w:val="00C85969"/>
    <w:rsid w:val="00C85A64"/>
    <w:rsid w:val="00C85AD3"/>
    <w:rsid w:val="00C8631D"/>
    <w:rsid w:val="00C86BBC"/>
    <w:rsid w:val="00C86CCE"/>
    <w:rsid w:val="00C86F83"/>
    <w:rsid w:val="00C87526"/>
    <w:rsid w:val="00C8799E"/>
    <w:rsid w:val="00C902BE"/>
    <w:rsid w:val="00C90436"/>
    <w:rsid w:val="00C90474"/>
    <w:rsid w:val="00C907F7"/>
    <w:rsid w:val="00C90958"/>
    <w:rsid w:val="00C90C01"/>
    <w:rsid w:val="00C912C6"/>
    <w:rsid w:val="00C913E0"/>
    <w:rsid w:val="00C9157F"/>
    <w:rsid w:val="00C9167F"/>
    <w:rsid w:val="00C918A1"/>
    <w:rsid w:val="00C9208C"/>
    <w:rsid w:val="00C92112"/>
    <w:rsid w:val="00C92A03"/>
    <w:rsid w:val="00C92F0F"/>
    <w:rsid w:val="00C9310E"/>
    <w:rsid w:val="00C93311"/>
    <w:rsid w:val="00C93518"/>
    <w:rsid w:val="00C9361F"/>
    <w:rsid w:val="00C940EF"/>
    <w:rsid w:val="00C94281"/>
    <w:rsid w:val="00C94AB1"/>
    <w:rsid w:val="00C94AF4"/>
    <w:rsid w:val="00C95384"/>
    <w:rsid w:val="00C958CB"/>
    <w:rsid w:val="00C96C18"/>
    <w:rsid w:val="00C9709C"/>
    <w:rsid w:val="00C97800"/>
    <w:rsid w:val="00C97DE4"/>
    <w:rsid w:val="00C97F02"/>
    <w:rsid w:val="00CA01F9"/>
    <w:rsid w:val="00CA0B6A"/>
    <w:rsid w:val="00CA0E0B"/>
    <w:rsid w:val="00CA0EB8"/>
    <w:rsid w:val="00CA16DD"/>
    <w:rsid w:val="00CA1945"/>
    <w:rsid w:val="00CA1B52"/>
    <w:rsid w:val="00CA1BE4"/>
    <w:rsid w:val="00CA1C1A"/>
    <w:rsid w:val="00CA2078"/>
    <w:rsid w:val="00CA25CA"/>
    <w:rsid w:val="00CA277F"/>
    <w:rsid w:val="00CA29AC"/>
    <w:rsid w:val="00CA2ABF"/>
    <w:rsid w:val="00CA39A0"/>
    <w:rsid w:val="00CA3D78"/>
    <w:rsid w:val="00CA3E9C"/>
    <w:rsid w:val="00CA3F49"/>
    <w:rsid w:val="00CA5EF1"/>
    <w:rsid w:val="00CA64AE"/>
    <w:rsid w:val="00CA6674"/>
    <w:rsid w:val="00CA66A9"/>
    <w:rsid w:val="00CA732C"/>
    <w:rsid w:val="00CA78BF"/>
    <w:rsid w:val="00CA7B7A"/>
    <w:rsid w:val="00CA7D7F"/>
    <w:rsid w:val="00CA7EA4"/>
    <w:rsid w:val="00CB033C"/>
    <w:rsid w:val="00CB082B"/>
    <w:rsid w:val="00CB0ECD"/>
    <w:rsid w:val="00CB205E"/>
    <w:rsid w:val="00CB2112"/>
    <w:rsid w:val="00CB2194"/>
    <w:rsid w:val="00CB2C0D"/>
    <w:rsid w:val="00CB2C97"/>
    <w:rsid w:val="00CB3475"/>
    <w:rsid w:val="00CB3981"/>
    <w:rsid w:val="00CB4462"/>
    <w:rsid w:val="00CB4598"/>
    <w:rsid w:val="00CB4745"/>
    <w:rsid w:val="00CB5EBF"/>
    <w:rsid w:val="00CB5ECE"/>
    <w:rsid w:val="00CB5F0E"/>
    <w:rsid w:val="00CB6738"/>
    <w:rsid w:val="00CB6DE5"/>
    <w:rsid w:val="00CB71D9"/>
    <w:rsid w:val="00CB79EF"/>
    <w:rsid w:val="00CB7F03"/>
    <w:rsid w:val="00CC0272"/>
    <w:rsid w:val="00CC0662"/>
    <w:rsid w:val="00CC094D"/>
    <w:rsid w:val="00CC1034"/>
    <w:rsid w:val="00CC1623"/>
    <w:rsid w:val="00CC18AC"/>
    <w:rsid w:val="00CC1A0E"/>
    <w:rsid w:val="00CC1C11"/>
    <w:rsid w:val="00CC2126"/>
    <w:rsid w:val="00CC25AF"/>
    <w:rsid w:val="00CC2A2E"/>
    <w:rsid w:val="00CC2C9E"/>
    <w:rsid w:val="00CC2F86"/>
    <w:rsid w:val="00CC38A0"/>
    <w:rsid w:val="00CC3A38"/>
    <w:rsid w:val="00CC40AF"/>
    <w:rsid w:val="00CC4AE5"/>
    <w:rsid w:val="00CC4C47"/>
    <w:rsid w:val="00CC533F"/>
    <w:rsid w:val="00CC566B"/>
    <w:rsid w:val="00CC570B"/>
    <w:rsid w:val="00CC5801"/>
    <w:rsid w:val="00CC5A5B"/>
    <w:rsid w:val="00CC5DB2"/>
    <w:rsid w:val="00CC6B98"/>
    <w:rsid w:val="00CC6BA2"/>
    <w:rsid w:val="00CC748D"/>
    <w:rsid w:val="00CC74F7"/>
    <w:rsid w:val="00CD0169"/>
    <w:rsid w:val="00CD0214"/>
    <w:rsid w:val="00CD04EB"/>
    <w:rsid w:val="00CD0DE0"/>
    <w:rsid w:val="00CD1064"/>
    <w:rsid w:val="00CD1248"/>
    <w:rsid w:val="00CD1890"/>
    <w:rsid w:val="00CD1B5D"/>
    <w:rsid w:val="00CD1B89"/>
    <w:rsid w:val="00CD21BF"/>
    <w:rsid w:val="00CD2222"/>
    <w:rsid w:val="00CD2430"/>
    <w:rsid w:val="00CD2474"/>
    <w:rsid w:val="00CD29AD"/>
    <w:rsid w:val="00CD2FFC"/>
    <w:rsid w:val="00CD3092"/>
    <w:rsid w:val="00CD3253"/>
    <w:rsid w:val="00CD34AA"/>
    <w:rsid w:val="00CD3EAE"/>
    <w:rsid w:val="00CD4216"/>
    <w:rsid w:val="00CD4318"/>
    <w:rsid w:val="00CD4A68"/>
    <w:rsid w:val="00CD4AA2"/>
    <w:rsid w:val="00CD4BCC"/>
    <w:rsid w:val="00CD50E4"/>
    <w:rsid w:val="00CD556A"/>
    <w:rsid w:val="00CD587F"/>
    <w:rsid w:val="00CD5D2D"/>
    <w:rsid w:val="00CD62F2"/>
    <w:rsid w:val="00CD6350"/>
    <w:rsid w:val="00CD6CDF"/>
    <w:rsid w:val="00CD6E34"/>
    <w:rsid w:val="00CD76C5"/>
    <w:rsid w:val="00CD7868"/>
    <w:rsid w:val="00CD7DE0"/>
    <w:rsid w:val="00CE0791"/>
    <w:rsid w:val="00CE080B"/>
    <w:rsid w:val="00CE0ED2"/>
    <w:rsid w:val="00CE1B1C"/>
    <w:rsid w:val="00CE322A"/>
    <w:rsid w:val="00CE36E3"/>
    <w:rsid w:val="00CE3AF3"/>
    <w:rsid w:val="00CE440B"/>
    <w:rsid w:val="00CE4716"/>
    <w:rsid w:val="00CE5345"/>
    <w:rsid w:val="00CE5803"/>
    <w:rsid w:val="00CE66F2"/>
    <w:rsid w:val="00CE6832"/>
    <w:rsid w:val="00CE688A"/>
    <w:rsid w:val="00CE6B57"/>
    <w:rsid w:val="00CE6B97"/>
    <w:rsid w:val="00CE6D9D"/>
    <w:rsid w:val="00CE743D"/>
    <w:rsid w:val="00CE7A79"/>
    <w:rsid w:val="00CE7D61"/>
    <w:rsid w:val="00CF0CCA"/>
    <w:rsid w:val="00CF0D4E"/>
    <w:rsid w:val="00CF0D9E"/>
    <w:rsid w:val="00CF1099"/>
    <w:rsid w:val="00CF1538"/>
    <w:rsid w:val="00CF1690"/>
    <w:rsid w:val="00CF1E54"/>
    <w:rsid w:val="00CF1F10"/>
    <w:rsid w:val="00CF238E"/>
    <w:rsid w:val="00CF244B"/>
    <w:rsid w:val="00CF34F9"/>
    <w:rsid w:val="00CF36FC"/>
    <w:rsid w:val="00CF3960"/>
    <w:rsid w:val="00CF3BB7"/>
    <w:rsid w:val="00CF3E1A"/>
    <w:rsid w:val="00CF40B7"/>
    <w:rsid w:val="00CF4264"/>
    <w:rsid w:val="00CF4634"/>
    <w:rsid w:val="00CF4AA0"/>
    <w:rsid w:val="00CF4D6B"/>
    <w:rsid w:val="00CF56C8"/>
    <w:rsid w:val="00CF5824"/>
    <w:rsid w:val="00CF593B"/>
    <w:rsid w:val="00CF5948"/>
    <w:rsid w:val="00CF5E87"/>
    <w:rsid w:val="00CF5EFB"/>
    <w:rsid w:val="00CF6289"/>
    <w:rsid w:val="00CF6530"/>
    <w:rsid w:val="00CF6983"/>
    <w:rsid w:val="00CF6D03"/>
    <w:rsid w:val="00CF6EA7"/>
    <w:rsid w:val="00CF76CA"/>
    <w:rsid w:val="00CF7865"/>
    <w:rsid w:val="00CF7CA2"/>
    <w:rsid w:val="00CF7F9A"/>
    <w:rsid w:val="00D00119"/>
    <w:rsid w:val="00D00A42"/>
    <w:rsid w:val="00D00A84"/>
    <w:rsid w:val="00D00BE7"/>
    <w:rsid w:val="00D016D7"/>
    <w:rsid w:val="00D02062"/>
    <w:rsid w:val="00D0217E"/>
    <w:rsid w:val="00D023FB"/>
    <w:rsid w:val="00D02E8B"/>
    <w:rsid w:val="00D0333F"/>
    <w:rsid w:val="00D03613"/>
    <w:rsid w:val="00D039CE"/>
    <w:rsid w:val="00D03C80"/>
    <w:rsid w:val="00D042FC"/>
    <w:rsid w:val="00D04ED4"/>
    <w:rsid w:val="00D05026"/>
    <w:rsid w:val="00D05338"/>
    <w:rsid w:val="00D05499"/>
    <w:rsid w:val="00D05942"/>
    <w:rsid w:val="00D05AA4"/>
    <w:rsid w:val="00D06187"/>
    <w:rsid w:val="00D06271"/>
    <w:rsid w:val="00D062AF"/>
    <w:rsid w:val="00D06A4B"/>
    <w:rsid w:val="00D06CA3"/>
    <w:rsid w:val="00D06F00"/>
    <w:rsid w:val="00D10747"/>
    <w:rsid w:val="00D10927"/>
    <w:rsid w:val="00D111FA"/>
    <w:rsid w:val="00D11683"/>
    <w:rsid w:val="00D11699"/>
    <w:rsid w:val="00D1175F"/>
    <w:rsid w:val="00D11826"/>
    <w:rsid w:val="00D118E9"/>
    <w:rsid w:val="00D123AE"/>
    <w:rsid w:val="00D126E4"/>
    <w:rsid w:val="00D127CC"/>
    <w:rsid w:val="00D12A73"/>
    <w:rsid w:val="00D12F8A"/>
    <w:rsid w:val="00D13150"/>
    <w:rsid w:val="00D137D0"/>
    <w:rsid w:val="00D14366"/>
    <w:rsid w:val="00D145FA"/>
    <w:rsid w:val="00D1493D"/>
    <w:rsid w:val="00D14B5D"/>
    <w:rsid w:val="00D154AA"/>
    <w:rsid w:val="00D1553C"/>
    <w:rsid w:val="00D1582B"/>
    <w:rsid w:val="00D15B24"/>
    <w:rsid w:val="00D160BD"/>
    <w:rsid w:val="00D164D2"/>
    <w:rsid w:val="00D1654F"/>
    <w:rsid w:val="00D16755"/>
    <w:rsid w:val="00D16979"/>
    <w:rsid w:val="00D16B15"/>
    <w:rsid w:val="00D17357"/>
    <w:rsid w:val="00D17717"/>
    <w:rsid w:val="00D17AEE"/>
    <w:rsid w:val="00D17C29"/>
    <w:rsid w:val="00D202D1"/>
    <w:rsid w:val="00D202F3"/>
    <w:rsid w:val="00D20D16"/>
    <w:rsid w:val="00D21411"/>
    <w:rsid w:val="00D2161E"/>
    <w:rsid w:val="00D21B78"/>
    <w:rsid w:val="00D22228"/>
    <w:rsid w:val="00D2294B"/>
    <w:rsid w:val="00D22C0A"/>
    <w:rsid w:val="00D2309D"/>
    <w:rsid w:val="00D231ED"/>
    <w:rsid w:val="00D233F4"/>
    <w:rsid w:val="00D23B5E"/>
    <w:rsid w:val="00D23D10"/>
    <w:rsid w:val="00D2417F"/>
    <w:rsid w:val="00D24581"/>
    <w:rsid w:val="00D24583"/>
    <w:rsid w:val="00D24DFD"/>
    <w:rsid w:val="00D254AC"/>
    <w:rsid w:val="00D25975"/>
    <w:rsid w:val="00D25AC5"/>
    <w:rsid w:val="00D26165"/>
    <w:rsid w:val="00D26288"/>
    <w:rsid w:val="00D26359"/>
    <w:rsid w:val="00D272F0"/>
    <w:rsid w:val="00D27735"/>
    <w:rsid w:val="00D300F5"/>
    <w:rsid w:val="00D301F7"/>
    <w:rsid w:val="00D30352"/>
    <w:rsid w:val="00D30762"/>
    <w:rsid w:val="00D30A62"/>
    <w:rsid w:val="00D3208B"/>
    <w:rsid w:val="00D32336"/>
    <w:rsid w:val="00D329A9"/>
    <w:rsid w:val="00D32B41"/>
    <w:rsid w:val="00D32C23"/>
    <w:rsid w:val="00D334D2"/>
    <w:rsid w:val="00D335F1"/>
    <w:rsid w:val="00D34CAA"/>
    <w:rsid w:val="00D34D60"/>
    <w:rsid w:val="00D3544C"/>
    <w:rsid w:val="00D359F0"/>
    <w:rsid w:val="00D35E06"/>
    <w:rsid w:val="00D3612F"/>
    <w:rsid w:val="00D36576"/>
    <w:rsid w:val="00D36B66"/>
    <w:rsid w:val="00D36CC5"/>
    <w:rsid w:val="00D370C2"/>
    <w:rsid w:val="00D37C97"/>
    <w:rsid w:val="00D40073"/>
    <w:rsid w:val="00D404CE"/>
    <w:rsid w:val="00D40579"/>
    <w:rsid w:val="00D4090C"/>
    <w:rsid w:val="00D4124E"/>
    <w:rsid w:val="00D41435"/>
    <w:rsid w:val="00D41B8B"/>
    <w:rsid w:val="00D41C21"/>
    <w:rsid w:val="00D422BC"/>
    <w:rsid w:val="00D42632"/>
    <w:rsid w:val="00D426AA"/>
    <w:rsid w:val="00D429A5"/>
    <w:rsid w:val="00D42DEE"/>
    <w:rsid w:val="00D42E8A"/>
    <w:rsid w:val="00D430CD"/>
    <w:rsid w:val="00D4362B"/>
    <w:rsid w:val="00D4482D"/>
    <w:rsid w:val="00D44A7E"/>
    <w:rsid w:val="00D44F8E"/>
    <w:rsid w:val="00D45436"/>
    <w:rsid w:val="00D46048"/>
    <w:rsid w:val="00D4666F"/>
    <w:rsid w:val="00D46B46"/>
    <w:rsid w:val="00D46D90"/>
    <w:rsid w:val="00D46EC2"/>
    <w:rsid w:val="00D47BC6"/>
    <w:rsid w:val="00D47C78"/>
    <w:rsid w:val="00D47F6F"/>
    <w:rsid w:val="00D50323"/>
    <w:rsid w:val="00D50401"/>
    <w:rsid w:val="00D5062E"/>
    <w:rsid w:val="00D50797"/>
    <w:rsid w:val="00D50A78"/>
    <w:rsid w:val="00D50A8E"/>
    <w:rsid w:val="00D50D3F"/>
    <w:rsid w:val="00D50DAF"/>
    <w:rsid w:val="00D51245"/>
    <w:rsid w:val="00D515EA"/>
    <w:rsid w:val="00D523B6"/>
    <w:rsid w:val="00D526EC"/>
    <w:rsid w:val="00D52AB8"/>
    <w:rsid w:val="00D52C33"/>
    <w:rsid w:val="00D52C61"/>
    <w:rsid w:val="00D52E2A"/>
    <w:rsid w:val="00D53C2E"/>
    <w:rsid w:val="00D53DEC"/>
    <w:rsid w:val="00D542E0"/>
    <w:rsid w:val="00D54AB5"/>
    <w:rsid w:val="00D54BC7"/>
    <w:rsid w:val="00D553A0"/>
    <w:rsid w:val="00D55949"/>
    <w:rsid w:val="00D55969"/>
    <w:rsid w:val="00D55C91"/>
    <w:rsid w:val="00D56096"/>
    <w:rsid w:val="00D565D3"/>
    <w:rsid w:val="00D56661"/>
    <w:rsid w:val="00D5700A"/>
    <w:rsid w:val="00D57024"/>
    <w:rsid w:val="00D57A75"/>
    <w:rsid w:val="00D57D29"/>
    <w:rsid w:val="00D602DA"/>
    <w:rsid w:val="00D60E3E"/>
    <w:rsid w:val="00D62148"/>
    <w:rsid w:val="00D6239F"/>
    <w:rsid w:val="00D626BA"/>
    <w:rsid w:val="00D6290D"/>
    <w:rsid w:val="00D62D76"/>
    <w:rsid w:val="00D63852"/>
    <w:rsid w:val="00D63B66"/>
    <w:rsid w:val="00D64356"/>
    <w:rsid w:val="00D64FBE"/>
    <w:rsid w:val="00D65016"/>
    <w:rsid w:val="00D65425"/>
    <w:rsid w:val="00D65B98"/>
    <w:rsid w:val="00D6632B"/>
    <w:rsid w:val="00D66804"/>
    <w:rsid w:val="00D66992"/>
    <w:rsid w:val="00D66BA8"/>
    <w:rsid w:val="00D66E10"/>
    <w:rsid w:val="00D70302"/>
    <w:rsid w:val="00D703AB"/>
    <w:rsid w:val="00D70531"/>
    <w:rsid w:val="00D70569"/>
    <w:rsid w:val="00D70721"/>
    <w:rsid w:val="00D70895"/>
    <w:rsid w:val="00D71307"/>
    <w:rsid w:val="00D71B97"/>
    <w:rsid w:val="00D71EE2"/>
    <w:rsid w:val="00D725D3"/>
    <w:rsid w:val="00D72DBA"/>
    <w:rsid w:val="00D73440"/>
    <w:rsid w:val="00D73957"/>
    <w:rsid w:val="00D73A96"/>
    <w:rsid w:val="00D74638"/>
    <w:rsid w:val="00D74A99"/>
    <w:rsid w:val="00D74F8A"/>
    <w:rsid w:val="00D752F9"/>
    <w:rsid w:val="00D77F38"/>
    <w:rsid w:val="00D80FCD"/>
    <w:rsid w:val="00D81027"/>
    <w:rsid w:val="00D81094"/>
    <w:rsid w:val="00D8142A"/>
    <w:rsid w:val="00D8178E"/>
    <w:rsid w:val="00D82939"/>
    <w:rsid w:val="00D82A2A"/>
    <w:rsid w:val="00D82C7A"/>
    <w:rsid w:val="00D82E37"/>
    <w:rsid w:val="00D82F91"/>
    <w:rsid w:val="00D83389"/>
    <w:rsid w:val="00D834D6"/>
    <w:rsid w:val="00D8352D"/>
    <w:rsid w:val="00D837D8"/>
    <w:rsid w:val="00D83A03"/>
    <w:rsid w:val="00D83F0B"/>
    <w:rsid w:val="00D848B0"/>
    <w:rsid w:val="00D84D98"/>
    <w:rsid w:val="00D84F24"/>
    <w:rsid w:val="00D8535B"/>
    <w:rsid w:val="00D854D3"/>
    <w:rsid w:val="00D856CF"/>
    <w:rsid w:val="00D8689B"/>
    <w:rsid w:val="00D86B29"/>
    <w:rsid w:val="00D86BF0"/>
    <w:rsid w:val="00D86CFF"/>
    <w:rsid w:val="00D87598"/>
    <w:rsid w:val="00D8791B"/>
    <w:rsid w:val="00D87B7A"/>
    <w:rsid w:val="00D87CC2"/>
    <w:rsid w:val="00D87F39"/>
    <w:rsid w:val="00D87FD2"/>
    <w:rsid w:val="00D90157"/>
    <w:rsid w:val="00D90259"/>
    <w:rsid w:val="00D902E5"/>
    <w:rsid w:val="00D91189"/>
    <w:rsid w:val="00D911BC"/>
    <w:rsid w:val="00D924C8"/>
    <w:rsid w:val="00D92BE2"/>
    <w:rsid w:val="00D92C0B"/>
    <w:rsid w:val="00D92D3F"/>
    <w:rsid w:val="00D9397B"/>
    <w:rsid w:val="00D93A35"/>
    <w:rsid w:val="00D93AD2"/>
    <w:rsid w:val="00D9422C"/>
    <w:rsid w:val="00D943E7"/>
    <w:rsid w:val="00D94A71"/>
    <w:rsid w:val="00D94AE1"/>
    <w:rsid w:val="00D94BE9"/>
    <w:rsid w:val="00D94D7C"/>
    <w:rsid w:val="00D94F90"/>
    <w:rsid w:val="00D9510F"/>
    <w:rsid w:val="00D95701"/>
    <w:rsid w:val="00D95A05"/>
    <w:rsid w:val="00D95CAF"/>
    <w:rsid w:val="00D95DD8"/>
    <w:rsid w:val="00D9670B"/>
    <w:rsid w:val="00D969AF"/>
    <w:rsid w:val="00D96F4F"/>
    <w:rsid w:val="00D97094"/>
    <w:rsid w:val="00D970BD"/>
    <w:rsid w:val="00D971B7"/>
    <w:rsid w:val="00D97626"/>
    <w:rsid w:val="00D977E9"/>
    <w:rsid w:val="00D97972"/>
    <w:rsid w:val="00D97B54"/>
    <w:rsid w:val="00D97CBC"/>
    <w:rsid w:val="00D97DCD"/>
    <w:rsid w:val="00DA030B"/>
    <w:rsid w:val="00DA0440"/>
    <w:rsid w:val="00DA064D"/>
    <w:rsid w:val="00DA0B24"/>
    <w:rsid w:val="00DA162B"/>
    <w:rsid w:val="00DA17E8"/>
    <w:rsid w:val="00DA27F9"/>
    <w:rsid w:val="00DA289A"/>
    <w:rsid w:val="00DA2A94"/>
    <w:rsid w:val="00DA2ACB"/>
    <w:rsid w:val="00DA2E48"/>
    <w:rsid w:val="00DA402B"/>
    <w:rsid w:val="00DA486E"/>
    <w:rsid w:val="00DA4C80"/>
    <w:rsid w:val="00DA4D58"/>
    <w:rsid w:val="00DA56EA"/>
    <w:rsid w:val="00DA5AE4"/>
    <w:rsid w:val="00DA5C2F"/>
    <w:rsid w:val="00DA6083"/>
    <w:rsid w:val="00DA631C"/>
    <w:rsid w:val="00DA6442"/>
    <w:rsid w:val="00DA6715"/>
    <w:rsid w:val="00DA6F41"/>
    <w:rsid w:val="00DA7C09"/>
    <w:rsid w:val="00DB0167"/>
    <w:rsid w:val="00DB023A"/>
    <w:rsid w:val="00DB02F5"/>
    <w:rsid w:val="00DB04A4"/>
    <w:rsid w:val="00DB05D5"/>
    <w:rsid w:val="00DB0670"/>
    <w:rsid w:val="00DB06B1"/>
    <w:rsid w:val="00DB08E7"/>
    <w:rsid w:val="00DB163F"/>
    <w:rsid w:val="00DB221F"/>
    <w:rsid w:val="00DB22A9"/>
    <w:rsid w:val="00DB238C"/>
    <w:rsid w:val="00DB2602"/>
    <w:rsid w:val="00DB2E3B"/>
    <w:rsid w:val="00DB2E78"/>
    <w:rsid w:val="00DB2F3F"/>
    <w:rsid w:val="00DB37C0"/>
    <w:rsid w:val="00DB3CAD"/>
    <w:rsid w:val="00DB3E78"/>
    <w:rsid w:val="00DB416E"/>
    <w:rsid w:val="00DB45AC"/>
    <w:rsid w:val="00DB4DAE"/>
    <w:rsid w:val="00DB4DC6"/>
    <w:rsid w:val="00DB4EE7"/>
    <w:rsid w:val="00DB52AF"/>
    <w:rsid w:val="00DB5BA3"/>
    <w:rsid w:val="00DB6318"/>
    <w:rsid w:val="00DB6612"/>
    <w:rsid w:val="00DB6776"/>
    <w:rsid w:val="00DB6B57"/>
    <w:rsid w:val="00DB6D6E"/>
    <w:rsid w:val="00DB6EB1"/>
    <w:rsid w:val="00DB6F39"/>
    <w:rsid w:val="00DB79CE"/>
    <w:rsid w:val="00DB7A52"/>
    <w:rsid w:val="00DB7A63"/>
    <w:rsid w:val="00DB7B45"/>
    <w:rsid w:val="00DC02EA"/>
    <w:rsid w:val="00DC0A47"/>
    <w:rsid w:val="00DC1B23"/>
    <w:rsid w:val="00DC1C44"/>
    <w:rsid w:val="00DC2909"/>
    <w:rsid w:val="00DC2966"/>
    <w:rsid w:val="00DC2BB1"/>
    <w:rsid w:val="00DC2E92"/>
    <w:rsid w:val="00DC39F6"/>
    <w:rsid w:val="00DC4802"/>
    <w:rsid w:val="00DC4A88"/>
    <w:rsid w:val="00DC4BA7"/>
    <w:rsid w:val="00DC4E29"/>
    <w:rsid w:val="00DC4E5A"/>
    <w:rsid w:val="00DC53DA"/>
    <w:rsid w:val="00DC5476"/>
    <w:rsid w:val="00DC5B57"/>
    <w:rsid w:val="00DC5C7E"/>
    <w:rsid w:val="00DC5D2C"/>
    <w:rsid w:val="00DC5ED4"/>
    <w:rsid w:val="00DC61AC"/>
    <w:rsid w:val="00DC6A42"/>
    <w:rsid w:val="00DC7574"/>
    <w:rsid w:val="00DC7BA1"/>
    <w:rsid w:val="00DC7E65"/>
    <w:rsid w:val="00DC7EB6"/>
    <w:rsid w:val="00DD0189"/>
    <w:rsid w:val="00DD02D1"/>
    <w:rsid w:val="00DD058B"/>
    <w:rsid w:val="00DD05ED"/>
    <w:rsid w:val="00DD0818"/>
    <w:rsid w:val="00DD0AC6"/>
    <w:rsid w:val="00DD0C81"/>
    <w:rsid w:val="00DD0C99"/>
    <w:rsid w:val="00DD1366"/>
    <w:rsid w:val="00DD1CB1"/>
    <w:rsid w:val="00DD21FF"/>
    <w:rsid w:val="00DD290F"/>
    <w:rsid w:val="00DD4873"/>
    <w:rsid w:val="00DD49C8"/>
    <w:rsid w:val="00DD4A03"/>
    <w:rsid w:val="00DD4CAE"/>
    <w:rsid w:val="00DD4F37"/>
    <w:rsid w:val="00DD4FF3"/>
    <w:rsid w:val="00DD5001"/>
    <w:rsid w:val="00DD509F"/>
    <w:rsid w:val="00DD5522"/>
    <w:rsid w:val="00DD569A"/>
    <w:rsid w:val="00DD5793"/>
    <w:rsid w:val="00DD57B9"/>
    <w:rsid w:val="00DD5C81"/>
    <w:rsid w:val="00DD5E8E"/>
    <w:rsid w:val="00DD6137"/>
    <w:rsid w:val="00DD627D"/>
    <w:rsid w:val="00DD682E"/>
    <w:rsid w:val="00DD6A79"/>
    <w:rsid w:val="00DD6E00"/>
    <w:rsid w:val="00DD7F3F"/>
    <w:rsid w:val="00DE019F"/>
    <w:rsid w:val="00DE046B"/>
    <w:rsid w:val="00DE1018"/>
    <w:rsid w:val="00DE102C"/>
    <w:rsid w:val="00DE1670"/>
    <w:rsid w:val="00DE177C"/>
    <w:rsid w:val="00DE1AC0"/>
    <w:rsid w:val="00DE1B97"/>
    <w:rsid w:val="00DE2179"/>
    <w:rsid w:val="00DE2336"/>
    <w:rsid w:val="00DE27F9"/>
    <w:rsid w:val="00DE2A20"/>
    <w:rsid w:val="00DE3516"/>
    <w:rsid w:val="00DE3868"/>
    <w:rsid w:val="00DE3C03"/>
    <w:rsid w:val="00DE3DBC"/>
    <w:rsid w:val="00DE4549"/>
    <w:rsid w:val="00DE53F5"/>
    <w:rsid w:val="00DE5693"/>
    <w:rsid w:val="00DE573D"/>
    <w:rsid w:val="00DE5A60"/>
    <w:rsid w:val="00DE5ABF"/>
    <w:rsid w:val="00DE5EDC"/>
    <w:rsid w:val="00DE60DB"/>
    <w:rsid w:val="00DE62CB"/>
    <w:rsid w:val="00DE6354"/>
    <w:rsid w:val="00DE6C25"/>
    <w:rsid w:val="00DE6C4B"/>
    <w:rsid w:val="00DE6CFD"/>
    <w:rsid w:val="00DE70A8"/>
    <w:rsid w:val="00DE721C"/>
    <w:rsid w:val="00DE7276"/>
    <w:rsid w:val="00DE743E"/>
    <w:rsid w:val="00DE7594"/>
    <w:rsid w:val="00DE7D00"/>
    <w:rsid w:val="00DF0EE1"/>
    <w:rsid w:val="00DF10F1"/>
    <w:rsid w:val="00DF12BB"/>
    <w:rsid w:val="00DF1427"/>
    <w:rsid w:val="00DF17D8"/>
    <w:rsid w:val="00DF1CA5"/>
    <w:rsid w:val="00DF2E6C"/>
    <w:rsid w:val="00DF2F99"/>
    <w:rsid w:val="00DF3077"/>
    <w:rsid w:val="00DF30C6"/>
    <w:rsid w:val="00DF3275"/>
    <w:rsid w:val="00DF3284"/>
    <w:rsid w:val="00DF3605"/>
    <w:rsid w:val="00DF3948"/>
    <w:rsid w:val="00DF4187"/>
    <w:rsid w:val="00DF4442"/>
    <w:rsid w:val="00DF4AC7"/>
    <w:rsid w:val="00DF5208"/>
    <w:rsid w:val="00DF527A"/>
    <w:rsid w:val="00DF58A3"/>
    <w:rsid w:val="00DF63DB"/>
    <w:rsid w:val="00DF692E"/>
    <w:rsid w:val="00DF7115"/>
    <w:rsid w:val="00DF78A3"/>
    <w:rsid w:val="00DF7A31"/>
    <w:rsid w:val="00DF7D6E"/>
    <w:rsid w:val="00DF7E89"/>
    <w:rsid w:val="00DF7FD4"/>
    <w:rsid w:val="00E0096C"/>
    <w:rsid w:val="00E0139E"/>
    <w:rsid w:val="00E0143B"/>
    <w:rsid w:val="00E01B23"/>
    <w:rsid w:val="00E01C3D"/>
    <w:rsid w:val="00E01D1A"/>
    <w:rsid w:val="00E01D35"/>
    <w:rsid w:val="00E01D98"/>
    <w:rsid w:val="00E020A4"/>
    <w:rsid w:val="00E0286B"/>
    <w:rsid w:val="00E02E6B"/>
    <w:rsid w:val="00E03039"/>
    <w:rsid w:val="00E03093"/>
    <w:rsid w:val="00E03327"/>
    <w:rsid w:val="00E034B7"/>
    <w:rsid w:val="00E03FAA"/>
    <w:rsid w:val="00E041F6"/>
    <w:rsid w:val="00E044C7"/>
    <w:rsid w:val="00E04DA5"/>
    <w:rsid w:val="00E0557C"/>
    <w:rsid w:val="00E055B1"/>
    <w:rsid w:val="00E058CB"/>
    <w:rsid w:val="00E06059"/>
    <w:rsid w:val="00E0607B"/>
    <w:rsid w:val="00E0629D"/>
    <w:rsid w:val="00E068A0"/>
    <w:rsid w:val="00E071BD"/>
    <w:rsid w:val="00E07CC6"/>
    <w:rsid w:val="00E07D2D"/>
    <w:rsid w:val="00E10227"/>
    <w:rsid w:val="00E11170"/>
    <w:rsid w:val="00E11B97"/>
    <w:rsid w:val="00E1206F"/>
    <w:rsid w:val="00E12115"/>
    <w:rsid w:val="00E12220"/>
    <w:rsid w:val="00E12266"/>
    <w:rsid w:val="00E122BD"/>
    <w:rsid w:val="00E125A0"/>
    <w:rsid w:val="00E12809"/>
    <w:rsid w:val="00E12869"/>
    <w:rsid w:val="00E128FA"/>
    <w:rsid w:val="00E12E34"/>
    <w:rsid w:val="00E135CE"/>
    <w:rsid w:val="00E13A17"/>
    <w:rsid w:val="00E148F5"/>
    <w:rsid w:val="00E149A7"/>
    <w:rsid w:val="00E14FA8"/>
    <w:rsid w:val="00E153E0"/>
    <w:rsid w:val="00E15A76"/>
    <w:rsid w:val="00E15BF5"/>
    <w:rsid w:val="00E15D79"/>
    <w:rsid w:val="00E15EF7"/>
    <w:rsid w:val="00E16AE5"/>
    <w:rsid w:val="00E16B26"/>
    <w:rsid w:val="00E16E53"/>
    <w:rsid w:val="00E174E0"/>
    <w:rsid w:val="00E17B1E"/>
    <w:rsid w:val="00E17ED3"/>
    <w:rsid w:val="00E20090"/>
    <w:rsid w:val="00E205BA"/>
    <w:rsid w:val="00E207F8"/>
    <w:rsid w:val="00E20995"/>
    <w:rsid w:val="00E20A37"/>
    <w:rsid w:val="00E20F5A"/>
    <w:rsid w:val="00E211A9"/>
    <w:rsid w:val="00E216A7"/>
    <w:rsid w:val="00E21943"/>
    <w:rsid w:val="00E21AD4"/>
    <w:rsid w:val="00E21B74"/>
    <w:rsid w:val="00E21BD1"/>
    <w:rsid w:val="00E21DDA"/>
    <w:rsid w:val="00E21ED7"/>
    <w:rsid w:val="00E22853"/>
    <w:rsid w:val="00E22BF0"/>
    <w:rsid w:val="00E23421"/>
    <w:rsid w:val="00E23521"/>
    <w:rsid w:val="00E23A7B"/>
    <w:rsid w:val="00E23C2D"/>
    <w:rsid w:val="00E24044"/>
    <w:rsid w:val="00E24314"/>
    <w:rsid w:val="00E25977"/>
    <w:rsid w:val="00E25B8D"/>
    <w:rsid w:val="00E25BC3"/>
    <w:rsid w:val="00E25E1D"/>
    <w:rsid w:val="00E26243"/>
    <w:rsid w:val="00E26A4A"/>
    <w:rsid w:val="00E26DB7"/>
    <w:rsid w:val="00E26FFB"/>
    <w:rsid w:val="00E270A5"/>
    <w:rsid w:val="00E2710E"/>
    <w:rsid w:val="00E27AFA"/>
    <w:rsid w:val="00E27B2D"/>
    <w:rsid w:val="00E30153"/>
    <w:rsid w:val="00E3053A"/>
    <w:rsid w:val="00E30D5C"/>
    <w:rsid w:val="00E30DD9"/>
    <w:rsid w:val="00E3140E"/>
    <w:rsid w:val="00E31CAE"/>
    <w:rsid w:val="00E31E3D"/>
    <w:rsid w:val="00E320C4"/>
    <w:rsid w:val="00E322D6"/>
    <w:rsid w:val="00E32509"/>
    <w:rsid w:val="00E327D3"/>
    <w:rsid w:val="00E32B7A"/>
    <w:rsid w:val="00E32E52"/>
    <w:rsid w:val="00E337C8"/>
    <w:rsid w:val="00E339CF"/>
    <w:rsid w:val="00E34E0F"/>
    <w:rsid w:val="00E34E5B"/>
    <w:rsid w:val="00E34F13"/>
    <w:rsid w:val="00E35298"/>
    <w:rsid w:val="00E3538F"/>
    <w:rsid w:val="00E363A4"/>
    <w:rsid w:val="00E363A7"/>
    <w:rsid w:val="00E3650A"/>
    <w:rsid w:val="00E36EC7"/>
    <w:rsid w:val="00E37186"/>
    <w:rsid w:val="00E37313"/>
    <w:rsid w:val="00E406B9"/>
    <w:rsid w:val="00E407B2"/>
    <w:rsid w:val="00E41036"/>
    <w:rsid w:val="00E41235"/>
    <w:rsid w:val="00E41514"/>
    <w:rsid w:val="00E42353"/>
    <w:rsid w:val="00E428B7"/>
    <w:rsid w:val="00E42C6E"/>
    <w:rsid w:val="00E4374D"/>
    <w:rsid w:val="00E43FE8"/>
    <w:rsid w:val="00E447AF"/>
    <w:rsid w:val="00E447EC"/>
    <w:rsid w:val="00E44FCA"/>
    <w:rsid w:val="00E4524D"/>
    <w:rsid w:val="00E45B95"/>
    <w:rsid w:val="00E45E36"/>
    <w:rsid w:val="00E46571"/>
    <w:rsid w:val="00E474BA"/>
    <w:rsid w:val="00E47720"/>
    <w:rsid w:val="00E47774"/>
    <w:rsid w:val="00E477CB"/>
    <w:rsid w:val="00E4794C"/>
    <w:rsid w:val="00E4795B"/>
    <w:rsid w:val="00E47EFE"/>
    <w:rsid w:val="00E5044E"/>
    <w:rsid w:val="00E505D3"/>
    <w:rsid w:val="00E513BA"/>
    <w:rsid w:val="00E51532"/>
    <w:rsid w:val="00E51B40"/>
    <w:rsid w:val="00E520ED"/>
    <w:rsid w:val="00E531D5"/>
    <w:rsid w:val="00E53244"/>
    <w:rsid w:val="00E533F9"/>
    <w:rsid w:val="00E533FE"/>
    <w:rsid w:val="00E536A4"/>
    <w:rsid w:val="00E53C62"/>
    <w:rsid w:val="00E53E7D"/>
    <w:rsid w:val="00E540A5"/>
    <w:rsid w:val="00E54145"/>
    <w:rsid w:val="00E5452E"/>
    <w:rsid w:val="00E54BDA"/>
    <w:rsid w:val="00E54BE3"/>
    <w:rsid w:val="00E54CBC"/>
    <w:rsid w:val="00E551CA"/>
    <w:rsid w:val="00E55264"/>
    <w:rsid w:val="00E553B6"/>
    <w:rsid w:val="00E55419"/>
    <w:rsid w:val="00E55FFB"/>
    <w:rsid w:val="00E56102"/>
    <w:rsid w:val="00E5659E"/>
    <w:rsid w:val="00E565C0"/>
    <w:rsid w:val="00E56671"/>
    <w:rsid w:val="00E567FE"/>
    <w:rsid w:val="00E5730A"/>
    <w:rsid w:val="00E57460"/>
    <w:rsid w:val="00E57978"/>
    <w:rsid w:val="00E603F7"/>
    <w:rsid w:val="00E6090F"/>
    <w:rsid w:val="00E60DB0"/>
    <w:rsid w:val="00E61490"/>
    <w:rsid w:val="00E615DD"/>
    <w:rsid w:val="00E61774"/>
    <w:rsid w:val="00E6284D"/>
    <w:rsid w:val="00E6298A"/>
    <w:rsid w:val="00E636F9"/>
    <w:rsid w:val="00E639DC"/>
    <w:rsid w:val="00E63ADE"/>
    <w:rsid w:val="00E64290"/>
    <w:rsid w:val="00E6481E"/>
    <w:rsid w:val="00E64893"/>
    <w:rsid w:val="00E649BF"/>
    <w:rsid w:val="00E659F5"/>
    <w:rsid w:val="00E65B70"/>
    <w:rsid w:val="00E65C16"/>
    <w:rsid w:val="00E65C8C"/>
    <w:rsid w:val="00E65CF0"/>
    <w:rsid w:val="00E65FCA"/>
    <w:rsid w:val="00E660D4"/>
    <w:rsid w:val="00E6618E"/>
    <w:rsid w:val="00E666CB"/>
    <w:rsid w:val="00E66998"/>
    <w:rsid w:val="00E66DD7"/>
    <w:rsid w:val="00E67081"/>
    <w:rsid w:val="00E67D0B"/>
    <w:rsid w:val="00E67E52"/>
    <w:rsid w:val="00E704E5"/>
    <w:rsid w:val="00E705A5"/>
    <w:rsid w:val="00E70606"/>
    <w:rsid w:val="00E7069E"/>
    <w:rsid w:val="00E70D06"/>
    <w:rsid w:val="00E71318"/>
    <w:rsid w:val="00E716AD"/>
    <w:rsid w:val="00E7296E"/>
    <w:rsid w:val="00E72E59"/>
    <w:rsid w:val="00E73CF5"/>
    <w:rsid w:val="00E74A3D"/>
    <w:rsid w:val="00E74C0F"/>
    <w:rsid w:val="00E74DCD"/>
    <w:rsid w:val="00E75885"/>
    <w:rsid w:val="00E75A12"/>
    <w:rsid w:val="00E75FF6"/>
    <w:rsid w:val="00E76AE3"/>
    <w:rsid w:val="00E77158"/>
    <w:rsid w:val="00E77186"/>
    <w:rsid w:val="00E77C03"/>
    <w:rsid w:val="00E77CB7"/>
    <w:rsid w:val="00E77D03"/>
    <w:rsid w:val="00E801B5"/>
    <w:rsid w:val="00E802B5"/>
    <w:rsid w:val="00E8083C"/>
    <w:rsid w:val="00E80950"/>
    <w:rsid w:val="00E80CB4"/>
    <w:rsid w:val="00E80ECE"/>
    <w:rsid w:val="00E813EB"/>
    <w:rsid w:val="00E81E65"/>
    <w:rsid w:val="00E821EF"/>
    <w:rsid w:val="00E82B91"/>
    <w:rsid w:val="00E82D33"/>
    <w:rsid w:val="00E83038"/>
    <w:rsid w:val="00E83500"/>
    <w:rsid w:val="00E8361B"/>
    <w:rsid w:val="00E83A64"/>
    <w:rsid w:val="00E83B87"/>
    <w:rsid w:val="00E841C6"/>
    <w:rsid w:val="00E84415"/>
    <w:rsid w:val="00E846B4"/>
    <w:rsid w:val="00E84769"/>
    <w:rsid w:val="00E84887"/>
    <w:rsid w:val="00E85099"/>
    <w:rsid w:val="00E852E7"/>
    <w:rsid w:val="00E853B1"/>
    <w:rsid w:val="00E85538"/>
    <w:rsid w:val="00E85771"/>
    <w:rsid w:val="00E85B45"/>
    <w:rsid w:val="00E85BA3"/>
    <w:rsid w:val="00E8624D"/>
    <w:rsid w:val="00E862BB"/>
    <w:rsid w:val="00E869D3"/>
    <w:rsid w:val="00E86DC4"/>
    <w:rsid w:val="00E87402"/>
    <w:rsid w:val="00E9034E"/>
    <w:rsid w:val="00E9057D"/>
    <w:rsid w:val="00E90811"/>
    <w:rsid w:val="00E9097E"/>
    <w:rsid w:val="00E90CF3"/>
    <w:rsid w:val="00E9138F"/>
    <w:rsid w:val="00E9157C"/>
    <w:rsid w:val="00E91B0D"/>
    <w:rsid w:val="00E920B5"/>
    <w:rsid w:val="00E92E8D"/>
    <w:rsid w:val="00E92F14"/>
    <w:rsid w:val="00E94068"/>
    <w:rsid w:val="00E9483D"/>
    <w:rsid w:val="00E94AAE"/>
    <w:rsid w:val="00E957FD"/>
    <w:rsid w:val="00E95C5E"/>
    <w:rsid w:val="00E95E64"/>
    <w:rsid w:val="00E95E87"/>
    <w:rsid w:val="00E96BDD"/>
    <w:rsid w:val="00E96D9C"/>
    <w:rsid w:val="00E970A3"/>
    <w:rsid w:val="00E976A9"/>
    <w:rsid w:val="00E97948"/>
    <w:rsid w:val="00E97A51"/>
    <w:rsid w:val="00E97B2A"/>
    <w:rsid w:val="00E97CB1"/>
    <w:rsid w:val="00EA0AC9"/>
    <w:rsid w:val="00EA0B33"/>
    <w:rsid w:val="00EA0E61"/>
    <w:rsid w:val="00EA1A2A"/>
    <w:rsid w:val="00EA22AF"/>
    <w:rsid w:val="00EA2662"/>
    <w:rsid w:val="00EA2A48"/>
    <w:rsid w:val="00EA37DD"/>
    <w:rsid w:val="00EA41A0"/>
    <w:rsid w:val="00EA47FE"/>
    <w:rsid w:val="00EA4B90"/>
    <w:rsid w:val="00EA4BAD"/>
    <w:rsid w:val="00EA52F0"/>
    <w:rsid w:val="00EA54D8"/>
    <w:rsid w:val="00EA5C24"/>
    <w:rsid w:val="00EA65BA"/>
    <w:rsid w:val="00EA6693"/>
    <w:rsid w:val="00EA6811"/>
    <w:rsid w:val="00EA6948"/>
    <w:rsid w:val="00EA702C"/>
    <w:rsid w:val="00EA7283"/>
    <w:rsid w:val="00EB0029"/>
    <w:rsid w:val="00EB090B"/>
    <w:rsid w:val="00EB0AEC"/>
    <w:rsid w:val="00EB0BE8"/>
    <w:rsid w:val="00EB19EC"/>
    <w:rsid w:val="00EB2604"/>
    <w:rsid w:val="00EB26C2"/>
    <w:rsid w:val="00EB2C6F"/>
    <w:rsid w:val="00EB3CC9"/>
    <w:rsid w:val="00EB3E06"/>
    <w:rsid w:val="00EB3F76"/>
    <w:rsid w:val="00EB3FC8"/>
    <w:rsid w:val="00EB44EC"/>
    <w:rsid w:val="00EB4705"/>
    <w:rsid w:val="00EB4852"/>
    <w:rsid w:val="00EB4E14"/>
    <w:rsid w:val="00EB50EF"/>
    <w:rsid w:val="00EB5447"/>
    <w:rsid w:val="00EB59A9"/>
    <w:rsid w:val="00EB638E"/>
    <w:rsid w:val="00EB63A5"/>
    <w:rsid w:val="00EB689E"/>
    <w:rsid w:val="00EB6DB5"/>
    <w:rsid w:val="00EB6EA7"/>
    <w:rsid w:val="00EB6F0D"/>
    <w:rsid w:val="00EB716E"/>
    <w:rsid w:val="00EB73C8"/>
    <w:rsid w:val="00EB7D18"/>
    <w:rsid w:val="00EB7FAF"/>
    <w:rsid w:val="00EC03BB"/>
    <w:rsid w:val="00EC0A08"/>
    <w:rsid w:val="00EC0BBA"/>
    <w:rsid w:val="00EC12FF"/>
    <w:rsid w:val="00EC1487"/>
    <w:rsid w:val="00EC1602"/>
    <w:rsid w:val="00EC1B68"/>
    <w:rsid w:val="00EC1EA9"/>
    <w:rsid w:val="00EC2733"/>
    <w:rsid w:val="00EC2A5B"/>
    <w:rsid w:val="00EC2B96"/>
    <w:rsid w:val="00EC2CAF"/>
    <w:rsid w:val="00EC39BF"/>
    <w:rsid w:val="00EC42F7"/>
    <w:rsid w:val="00EC4C63"/>
    <w:rsid w:val="00EC4E1F"/>
    <w:rsid w:val="00EC5864"/>
    <w:rsid w:val="00EC5CAF"/>
    <w:rsid w:val="00EC5D1C"/>
    <w:rsid w:val="00EC6159"/>
    <w:rsid w:val="00EC69CF"/>
    <w:rsid w:val="00EC6C66"/>
    <w:rsid w:val="00EC71D9"/>
    <w:rsid w:val="00EC72E1"/>
    <w:rsid w:val="00EC7581"/>
    <w:rsid w:val="00EC77D9"/>
    <w:rsid w:val="00ED0185"/>
    <w:rsid w:val="00ED0213"/>
    <w:rsid w:val="00ED0282"/>
    <w:rsid w:val="00ED043B"/>
    <w:rsid w:val="00ED084A"/>
    <w:rsid w:val="00ED18CA"/>
    <w:rsid w:val="00ED1B98"/>
    <w:rsid w:val="00ED2971"/>
    <w:rsid w:val="00ED3166"/>
    <w:rsid w:val="00ED3A58"/>
    <w:rsid w:val="00ED3D52"/>
    <w:rsid w:val="00ED4A9D"/>
    <w:rsid w:val="00ED4D96"/>
    <w:rsid w:val="00ED5471"/>
    <w:rsid w:val="00ED547C"/>
    <w:rsid w:val="00ED5A4F"/>
    <w:rsid w:val="00ED5EFD"/>
    <w:rsid w:val="00ED6F69"/>
    <w:rsid w:val="00ED707E"/>
    <w:rsid w:val="00ED78DD"/>
    <w:rsid w:val="00ED79D5"/>
    <w:rsid w:val="00EE077A"/>
    <w:rsid w:val="00EE0906"/>
    <w:rsid w:val="00EE09C3"/>
    <w:rsid w:val="00EE0BB3"/>
    <w:rsid w:val="00EE13A8"/>
    <w:rsid w:val="00EE1540"/>
    <w:rsid w:val="00EE16D4"/>
    <w:rsid w:val="00EE1AFC"/>
    <w:rsid w:val="00EE1D5D"/>
    <w:rsid w:val="00EE1F78"/>
    <w:rsid w:val="00EE1FD4"/>
    <w:rsid w:val="00EE241A"/>
    <w:rsid w:val="00EE24FC"/>
    <w:rsid w:val="00EE264D"/>
    <w:rsid w:val="00EE2739"/>
    <w:rsid w:val="00EE28DB"/>
    <w:rsid w:val="00EE31BC"/>
    <w:rsid w:val="00EE3ADC"/>
    <w:rsid w:val="00EE3D91"/>
    <w:rsid w:val="00EE421D"/>
    <w:rsid w:val="00EE43C6"/>
    <w:rsid w:val="00EE4525"/>
    <w:rsid w:val="00EE45D7"/>
    <w:rsid w:val="00EE4BE9"/>
    <w:rsid w:val="00EE4C8F"/>
    <w:rsid w:val="00EE4DBA"/>
    <w:rsid w:val="00EE4DDA"/>
    <w:rsid w:val="00EE4F72"/>
    <w:rsid w:val="00EE513D"/>
    <w:rsid w:val="00EE5593"/>
    <w:rsid w:val="00EE56C2"/>
    <w:rsid w:val="00EE57D2"/>
    <w:rsid w:val="00EE5E5C"/>
    <w:rsid w:val="00EE6264"/>
    <w:rsid w:val="00EE6CB0"/>
    <w:rsid w:val="00EE7392"/>
    <w:rsid w:val="00EF011A"/>
    <w:rsid w:val="00EF047F"/>
    <w:rsid w:val="00EF0516"/>
    <w:rsid w:val="00EF0986"/>
    <w:rsid w:val="00EF0AB7"/>
    <w:rsid w:val="00EF0D45"/>
    <w:rsid w:val="00EF1E2C"/>
    <w:rsid w:val="00EF27B9"/>
    <w:rsid w:val="00EF3388"/>
    <w:rsid w:val="00EF355D"/>
    <w:rsid w:val="00EF3753"/>
    <w:rsid w:val="00EF4393"/>
    <w:rsid w:val="00EF43C2"/>
    <w:rsid w:val="00EF4AAB"/>
    <w:rsid w:val="00EF5010"/>
    <w:rsid w:val="00EF5201"/>
    <w:rsid w:val="00EF5265"/>
    <w:rsid w:val="00EF5A8C"/>
    <w:rsid w:val="00EF5D82"/>
    <w:rsid w:val="00EF675D"/>
    <w:rsid w:val="00EF6790"/>
    <w:rsid w:val="00EF6D27"/>
    <w:rsid w:val="00EF6DA4"/>
    <w:rsid w:val="00EF7E35"/>
    <w:rsid w:val="00F00B7E"/>
    <w:rsid w:val="00F00D27"/>
    <w:rsid w:val="00F01134"/>
    <w:rsid w:val="00F017C1"/>
    <w:rsid w:val="00F017DB"/>
    <w:rsid w:val="00F01B44"/>
    <w:rsid w:val="00F01DA7"/>
    <w:rsid w:val="00F0202F"/>
    <w:rsid w:val="00F02042"/>
    <w:rsid w:val="00F0246D"/>
    <w:rsid w:val="00F029D7"/>
    <w:rsid w:val="00F02AE0"/>
    <w:rsid w:val="00F02F7A"/>
    <w:rsid w:val="00F0344D"/>
    <w:rsid w:val="00F03DF3"/>
    <w:rsid w:val="00F03DF8"/>
    <w:rsid w:val="00F03E2A"/>
    <w:rsid w:val="00F03F4D"/>
    <w:rsid w:val="00F053D9"/>
    <w:rsid w:val="00F05A72"/>
    <w:rsid w:val="00F061EF"/>
    <w:rsid w:val="00F0707C"/>
    <w:rsid w:val="00F07B07"/>
    <w:rsid w:val="00F07B3A"/>
    <w:rsid w:val="00F07F7B"/>
    <w:rsid w:val="00F07FE6"/>
    <w:rsid w:val="00F10019"/>
    <w:rsid w:val="00F10604"/>
    <w:rsid w:val="00F10909"/>
    <w:rsid w:val="00F1093C"/>
    <w:rsid w:val="00F10E5E"/>
    <w:rsid w:val="00F11032"/>
    <w:rsid w:val="00F11034"/>
    <w:rsid w:val="00F1132E"/>
    <w:rsid w:val="00F1150E"/>
    <w:rsid w:val="00F11AC4"/>
    <w:rsid w:val="00F11DB6"/>
    <w:rsid w:val="00F11F55"/>
    <w:rsid w:val="00F1215A"/>
    <w:rsid w:val="00F12720"/>
    <w:rsid w:val="00F12839"/>
    <w:rsid w:val="00F12847"/>
    <w:rsid w:val="00F12C32"/>
    <w:rsid w:val="00F13068"/>
    <w:rsid w:val="00F13435"/>
    <w:rsid w:val="00F139FF"/>
    <w:rsid w:val="00F13BB6"/>
    <w:rsid w:val="00F141C1"/>
    <w:rsid w:val="00F143D4"/>
    <w:rsid w:val="00F152FF"/>
    <w:rsid w:val="00F17F39"/>
    <w:rsid w:val="00F20086"/>
    <w:rsid w:val="00F204D7"/>
    <w:rsid w:val="00F207BB"/>
    <w:rsid w:val="00F20E10"/>
    <w:rsid w:val="00F20F6F"/>
    <w:rsid w:val="00F21AAD"/>
    <w:rsid w:val="00F21F5A"/>
    <w:rsid w:val="00F22D4F"/>
    <w:rsid w:val="00F232AC"/>
    <w:rsid w:val="00F236A1"/>
    <w:rsid w:val="00F238A0"/>
    <w:rsid w:val="00F23DE5"/>
    <w:rsid w:val="00F24E99"/>
    <w:rsid w:val="00F25050"/>
    <w:rsid w:val="00F254C8"/>
    <w:rsid w:val="00F255EA"/>
    <w:rsid w:val="00F25718"/>
    <w:rsid w:val="00F26171"/>
    <w:rsid w:val="00F26352"/>
    <w:rsid w:val="00F2684C"/>
    <w:rsid w:val="00F269F0"/>
    <w:rsid w:val="00F26B58"/>
    <w:rsid w:val="00F26E68"/>
    <w:rsid w:val="00F27503"/>
    <w:rsid w:val="00F278CC"/>
    <w:rsid w:val="00F27A47"/>
    <w:rsid w:val="00F27DAA"/>
    <w:rsid w:val="00F3024A"/>
    <w:rsid w:val="00F303D5"/>
    <w:rsid w:val="00F30406"/>
    <w:rsid w:val="00F30430"/>
    <w:rsid w:val="00F30E06"/>
    <w:rsid w:val="00F30E2A"/>
    <w:rsid w:val="00F31457"/>
    <w:rsid w:val="00F318C7"/>
    <w:rsid w:val="00F32973"/>
    <w:rsid w:val="00F32B27"/>
    <w:rsid w:val="00F32FFA"/>
    <w:rsid w:val="00F33217"/>
    <w:rsid w:val="00F335D3"/>
    <w:rsid w:val="00F33810"/>
    <w:rsid w:val="00F33B98"/>
    <w:rsid w:val="00F340C9"/>
    <w:rsid w:val="00F342CF"/>
    <w:rsid w:val="00F35056"/>
    <w:rsid w:val="00F35431"/>
    <w:rsid w:val="00F35A62"/>
    <w:rsid w:val="00F35B35"/>
    <w:rsid w:val="00F35F26"/>
    <w:rsid w:val="00F369EC"/>
    <w:rsid w:val="00F3719A"/>
    <w:rsid w:val="00F376DD"/>
    <w:rsid w:val="00F377F3"/>
    <w:rsid w:val="00F3790D"/>
    <w:rsid w:val="00F3798B"/>
    <w:rsid w:val="00F4072D"/>
    <w:rsid w:val="00F40752"/>
    <w:rsid w:val="00F40C99"/>
    <w:rsid w:val="00F41171"/>
    <w:rsid w:val="00F418D5"/>
    <w:rsid w:val="00F426C9"/>
    <w:rsid w:val="00F42B61"/>
    <w:rsid w:val="00F42C67"/>
    <w:rsid w:val="00F42E99"/>
    <w:rsid w:val="00F42F4A"/>
    <w:rsid w:val="00F42F69"/>
    <w:rsid w:val="00F43188"/>
    <w:rsid w:val="00F44056"/>
    <w:rsid w:val="00F44942"/>
    <w:rsid w:val="00F44BAF"/>
    <w:rsid w:val="00F44E65"/>
    <w:rsid w:val="00F45538"/>
    <w:rsid w:val="00F455F9"/>
    <w:rsid w:val="00F458E2"/>
    <w:rsid w:val="00F4638E"/>
    <w:rsid w:val="00F4661A"/>
    <w:rsid w:val="00F47335"/>
    <w:rsid w:val="00F473B2"/>
    <w:rsid w:val="00F4791B"/>
    <w:rsid w:val="00F50047"/>
    <w:rsid w:val="00F50C43"/>
    <w:rsid w:val="00F5103A"/>
    <w:rsid w:val="00F5114B"/>
    <w:rsid w:val="00F5134A"/>
    <w:rsid w:val="00F513E8"/>
    <w:rsid w:val="00F514AD"/>
    <w:rsid w:val="00F5179A"/>
    <w:rsid w:val="00F52A7A"/>
    <w:rsid w:val="00F52D81"/>
    <w:rsid w:val="00F52E51"/>
    <w:rsid w:val="00F52E84"/>
    <w:rsid w:val="00F53F0F"/>
    <w:rsid w:val="00F5409D"/>
    <w:rsid w:val="00F543BF"/>
    <w:rsid w:val="00F54781"/>
    <w:rsid w:val="00F54B94"/>
    <w:rsid w:val="00F55039"/>
    <w:rsid w:val="00F55408"/>
    <w:rsid w:val="00F5578B"/>
    <w:rsid w:val="00F55B00"/>
    <w:rsid w:val="00F55E2C"/>
    <w:rsid w:val="00F563A1"/>
    <w:rsid w:val="00F5674D"/>
    <w:rsid w:val="00F56F3C"/>
    <w:rsid w:val="00F573D6"/>
    <w:rsid w:val="00F57518"/>
    <w:rsid w:val="00F575E4"/>
    <w:rsid w:val="00F60422"/>
    <w:rsid w:val="00F606C7"/>
    <w:rsid w:val="00F609DF"/>
    <w:rsid w:val="00F60DAD"/>
    <w:rsid w:val="00F60FEE"/>
    <w:rsid w:val="00F61D16"/>
    <w:rsid w:val="00F620B8"/>
    <w:rsid w:val="00F620D0"/>
    <w:rsid w:val="00F62636"/>
    <w:rsid w:val="00F62BE3"/>
    <w:rsid w:val="00F62F6A"/>
    <w:rsid w:val="00F631FC"/>
    <w:rsid w:val="00F636D5"/>
    <w:rsid w:val="00F6386B"/>
    <w:rsid w:val="00F6425A"/>
    <w:rsid w:val="00F64F85"/>
    <w:rsid w:val="00F65317"/>
    <w:rsid w:val="00F65530"/>
    <w:rsid w:val="00F6575D"/>
    <w:rsid w:val="00F65A73"/>
    <w:rsid w:val="00F65C07"/>
    <w:rsid w:val="00F65F14"/>
    <w:rsid w:val="00F662D7"/>
    <w:rsid w:val="00F66871"/>
    <w:rsid w:val="00F66951"/>
    <w:rsid w:val="00F66E8B"/>
    <w:rsid w:val="00F66F61"/>
    <w:rsid w:val="00F67310"/>
    <w:rsid w:val="00F673E9"/>
    <w:rsid w:val="00F67752"/>
    <w:rsid w:val="00F67791"/>
    <w:rsid w:val="00F67D12"/>
    <w:rsid w:val="00F70212"/>
    <w:rsid w:val="00F70219"/>
    <w:rsid w:val="00F70492"/>
    <w:rsid w:val="00F704F0"/>
    <w:rsid w:val="00F706E3"/>
    <w:rsid w:val="00F70703"/>
    <w:rsid w:val="00F70A25"/>
    <w:rsid w:val="00F70F52"/>
    <w:rsid w:val="00F71AEA"/>
    <w:rsid w:val="00F71B62"/>
    <w:rsid w:val="00F71FAC"/>
    <w:rsid w:val="00F72047"/>
    <w:rsid w:val="00F72416"/>
    <w:rsid w:val="00F72E6C"/>
    <w:rsid w:val="00F73568"/>
    <w:rsid w:val="00F73F4F"/>
    <w:rsid w:val="00F751B2"/>
    <w:rsid w:val="00F75F84"/>
    <w:rsid w:val="00F75FC2"/>
    <w:rsid w:val="00F76D76"/>
    <w:rsid w:val="00F774A8"/>
    <w:rsid w:val="00F7765A"/>
    <w:rsid w:val="00F77C0E"/>
    <w:rsid w:val="00F77CA0"/>
    <w:rsid w:val="00F80108"/>
    <w:rsid w:val="00F80204"/>
    <w:rsid w:val="00F8022E"/>
    <w:rsid w:val="00F80389"/>
    <w:rsid w:val="00F80BA0"/>
    <w:rsid w:val="00F80E64"/>
    <w:rsid w:val="00F81538"/>
    <w:rsid w:val="00F816A3"/>
    <w:rsid w:val="00F81751"/>
    <w:rsid w:val="00F82536"/>
    <w:rsid w:val="00F825E9"/>
    <w:rsid w:val="00F829AA"/>
    <w:rsid w:val="00F834E9"/>
    <w:rsid w:val="00F8377D"/>
    <w:rsid w:val="00F83800"/>
    <w:rsid w:val="00F8393B"/>
    <w:rsid w:val="00F839F6"/>
    <w:rsid w:val="00F843A2"/>
    <w:rsid w:val="00F845D4"/>
    <w:rsid w:val="00F8485A"/>
    <w:rsid w:val="00F84D72"/>
    <w:rsid w:val="00F85734"/>
    <w:rsid w:val="00F863E7"/>
    <w:rsid w:val="00F864B4"/>
    <w:rsid w:val="00F865B2"/>
    <w:rsid w:val="00F86736"/>
    <w:rsid w:val="00F86BEF"/>
    <w:rsid w:val="00F87173"/>
    <w:rsid w:val="00F873DA"/>
    <w:rsid w:val="00F90345"/>
    <w:rsid w:val="00F904C5"/>
    <w:rsid w:val="00F9091A"/>
    <w:rsid w:val="00F91093"/>
    <w:rsid w:val="00F910B2"/>
    <w:rsid w:val="00F9157A"/>
    <w:rsid w:val="00F923B2"/>
    <w:rsid w:val="00F92A1A"/>
    <w:rsid w:val="00F92A27"/>
    <w:rsid w:val="00F92BB2"/>
    <w:rsid w:val="00F92DD7"/>
    <w:rsid w:val="00F93258"/>
    <w:rsid w:val="00F93535"/>
    <w:rsid w:val="00F938A6"/>
    <w:rsid w:val="00F93D17"/>
    <w:rsid w:val="00F9423D"/>
    <w:rsid w:val="00F94315"/>
    <w:rsid w:val="00F94574"/>
    <w:rsid w:val="00F9498B"/>
    <w:rsid w:val="00F94BCB"/>
    <w:rsid w:val="00F94DDE"/>
    <w:rsid w:val="00F94DE8"/>
    <w:rsid w:val="00F9545D"/>
    <w:rsid w:val="00F95D5B"/>
    <w:rsid w:val="00F95DFA"/>
    <w:rsid w:val="00F96D86"/>
    <w:rsid w:val="00F972A0"/>
    <w:rsid w:val="00F97A89"/>
    <w:rsid w:val="00F97D92"/>
    <w:rsid w:val="00F97E82"/>
    <w:rsid w:val="00FA0768"/>
    <w:rsid w:val="00FA0DF9"/>
    <w:rsid w:val="00FA17B0"/>
    <w:rsid w:val="00FA1C07"/>
    <w:rsid w:val="00FA21F0"/>
    <w:rsid w:val="00FA23E2"/>
    <w:rsid w:val="00FA258F"/>
    <w:rsid w:val="00FA2AA2"/>
    <w:rsid w:val="00FA33D1"/>
    <w:rsid w:val="00FA35BA"/>
    <w:rsid w:val="00FA36EB"/>
    <w:rsid w:val="00FA3B5E"/>
    <w:rsid w:val="00FA40A7"/>
    <w:rsid w:val="00FA48B1"/>
    <w:rsid w:val="00FA49A1"/>
    <w:rsid w:val="00FA4F1B"/>
    <w:rsid w:val="00FA59CC"/>
    <w:rsid w:val="00FA6204"/>
    <w:rsid w:val="00FA6D31"/>
    <w:rsid w:val="00FA7665"/>
    <w:rsid w:val="00FB0994"/>
    <w:rsid w:val="00FB0F5C"/>
    <w:rsid w:val="00FB1086"/>
    <w:rsid w:val="00FB15E8"/>
    <w:rsid w:val="00FB16F0"/>
    <w:rsid w:val="00FB1BBD"/>
    <w:rsid w:val="00FB1C72"/>
    <w:rsid w:val="00FB1D9E"/>
    <w:rsid w:val="00FB26B1"/>
    <w:rsid w:val="00FB2B0E"/>
    <w:rsid w:val="00FB2BA7"/>
    <w:rsid w:val="00FB3105"/>
    <w:rsid w:val="00FB35D7"/>
    <w:rsid w:val="00FB3861"/>
    <w:rsid w:val="00FB396C"/>
    <w:rsid w:val="00FB3FA3"/>
    <w:rsid w:val="00FB426B"/>
    <w:rsid w:val="00FB4A9C"/>
    <w:rsid w:val="00FB501C"/>
    <w:rsid w:val="00FB5605"/>
    <w:rsid w:val="00FB6731"/>
    <w:rsid w:val="00FB6BD9"/>
    <w:rsid w:val="00FB705B"/>
    <w:rsid w:val="00FB7065"/>
    <w:rsid w:val="00FC040B"/>
    <w:rsid w:val="00FC24AF"/>
    <w:rsid w:val="00FC2D2B"/>
    <w:rsid w:val="00FC2E65"/>
    <w:rsid w:val="00FC3522"/>
    <w:rsid w:val="00FC36B8"/>
    <w:rsid w:val="00FC3C64"/>
    <w:rsid w:val="00FC4354"/>
    <w:rsid w:val="00FC443D"/>
    <w:rsid w:val="00FC4801"/>
    <w:rsid w:val="00FC48F6"/>
    <w:rsid w:val="00FC4D74"/>
    <w:rsid w:val="00FC50CB"/>
    <w:rsid w:val="00FC5226"/>
    <w:rsid w:val="00FC52FB"/>
    <w:rsid w:val="00FC58DA"/>
    <w:rsid w:val="00FC5D69"/>
    <w:rsid w:val="00FC5E6D"/>
    <w:rsid w:val="00FC632C"/>
    <w:rsid w:val="00FC66E5"/>
    <w:rsid w:val="00FC6701"/>
    <w:rsid w:val="00FC6720"/>
    <w:rsid w:val="00FC69FE"/>
    <w:rsid w:val="00FC6C09"/>
    <w:rsid w:val="00FC6C5B"/>
    <w:rsid w:val="00FC6F99"/>
    <w:rsid w:val="00FC71C5"/>
    <w:rsid w:val="00FC7577"/>
    <w:rsid w:val="00FC7FD5"/>
    <w:rsid w:val="00FD069A"/>
    <w:rsid w:val="00FD1F73"/>
    <w:rsid w:val="00FD20B5"/>
    <w:rsid w:val="00FD2135"/>
    <w:rsid w:val="00FD21C8"/>
    <w:rsid w:val="00FD249F"/>
    <w:rsid w:val="00FD2655"/>
    <w:rsid w:val="00FD2AFB"/>
    <w:rsid w:val="00FD2C70"/>
    <w:rsid w:val="00FD341C"/>
    <w:rsid w:val="00FD3471"/>
    <w:rsid w:val="00FD3570"/>
    <w:rsid w:val="00FD393B"/>
    <w:rsid w:val="00FD3CE1"/>
    <w:rsid w:val="00FD3D73"/>
    <w:rsid w:val="00FD4D15"/>
    <w:rsid w:val="00FD581C"/>
    <w:rsid w:val="00FD5B2F"/>
    <w:rsid w:val="00FD5D1E"/>
    <w:rsid w:val="00FD64BD"/>
    <w:rsid w:val="00FD6751"/>
    <w:rsid w:val="00FD6B44"/>
    <w:rsid w:val="00FD7EB5"/>
    <w:rsid w:val="00FE0275"/>
    <w:rsid w:val="00FE08BA"/>
    <w:rsid w:val="00FE0D1F"/>
    <w:rsid w:val="00FE10BB"/>
    <w:rsid w:val="00FE14A9"/>
    <w:rsid w:val="00FE17D3"/>
    <w:rsid w:val="00FE1944"/>
    <w:rsid w:val="00FE27CC"/>
    <w:rsid w:val="00FE2C64"/>
    <w:rsid w:val="00FE3236"/>
    <w:rsid w:val="00FE34C0"/>
    <w:rsid w:val="00FE39B9"/>
    <w:rsid w:val="00FE3B9F"/>
    <w:rsid w:val="00FE3C75"/>
    <w:rsid w:val="00FE4196"/>
    <w:rsid w:val="00FE41CF"/>
    <w:rsid w:val="00FE42D7"/>
    <w:rsid w:val="00FE4CF6"/>
    <w:rsid w:val="00FE4EF3"/>
    <w:rsid w:val="00FE5276"/>
    <w:rsid w:val="00FE58A1"/>
    <w:rsid w:val="00FE5AF2"/>
    <w:rsid w:val="00FE5D17"/>
    <w:rsid w:val="00FE5D2F"/>
    <w:rsid w:val="00FE657D"/>
    <w:rsid w:val="00FE6604"/>
    <w:rsid w:val="00FE6649"/>
    <w:rsid w:val="00FE6B8B"/>
    <w:rsid w:val="00FE728C"/>
    <w:rsid w:val="00FE74DD"/>
    <w:rsid w:val="00FE78B4"/>
    <w:rsid w:val="00FF07BD"/>
    <w:rsid w:val="00FF09E5"/>
    <w:rsid w:val="00FF0C22"/>
    <w:rsid w:val="00FF0C26"/>
    <w:rsid w:val="00FF0DA0"/>
    <w:rsid w:val="00FF1107"/>
    <w:rsid w:val="00FF121C"/>
    <w:rsid w:val="00FF1D47"/>
    <w:rsid w:val="00FF266F"/>
    <w:rsid w:val="00FF3126"/>
    <w:rsid w:val="00FF359A"/>
    <w:rsid w:val="00FF3C14"/>
    <w:rsid w:val="00FF3C98"/>
    <w:rsid w:val="00FF4584"/>
    <w:rsid w:val="00FF45E6"/>
    <w:rsid w:val="00FF4A49"/>
    <w:rsid w:val="00FF4A6A"/>
    <w:rsid w:val="00FF4B0D"/>
    <w:rsid w:val="00FF4E92"/>
    <w:rsid w:val="00FF51ED"/>
    <w:rsid w:val="00FF5B28"/>
    <w:rsid w:val="00FF5B7D"/>
    <w:rsid w:val="00FF5CE9"/>
    <w:rsid w:val="00FF69D9"/>
    <w:rsid w:val="00FF6E42"/>
    <w:rsid w:val="00FF6EB5"/>
    <w:rsid w:val="00FF70D9"/>
    <w:rsid w:val="00FF74BF"/>
    <w:rsid w:val="00FF7669"/>
    <w:rsid w:val="00FF7AC6"/>
    <w:rsid w:val="00FF7BE6"/>
    <w:rsid w:val="03641753"/>
    <w:rsid w:val="03CA4205"/>
    <w:rsid w:val="0406602E"/>
    <w:rsid w:val="04257956"/>
    <w:rsid w:val="05F80620"/>
    <w:rsid w:val="060A3D13"/>
    <w:rsid w:val="069C11FA"/>
    <w:rsid w:val="06ED173E"/>
    <w:rsid w:val="07FA0697"/>
    <w:rsid w:val="085C3F68"/>
    <w:rsid w:val="088178D4"/>
    <w:rsid w:val="08A77D8D"/>
    <w:rsid w:val="09075D81"/>
    <w:rsid w:val="095B0754"/>
    <w:rsid w:val="095E5C06"/>
    <w:rsid w:val="097D5E4D"/>
    <w:rsid w:val="09A76EF4"/>
    <w:rsid w:val="09DA4B90"/>
    <w:rsid w:val="09DB35AE"/>
    <w:rsid w:val="0AC94D17"/>
    <w:rsid w:val="0AEB1E1B"/>
    <w:rsid w:val="0B7E2FBE"/>
    <w:rsid w:val="0BC42F4D"/>
    <w:rsid w:val="0C492DB8"/>
    <w:rsid w:val="0C4B20EC"/>
    <w:rsid w:val="0C73114C"/>
    <w:rsid w:val="0D7E5144"/>
    <w:rsid w:val="0EA655AF"/>
    <w:rsid w:val="0F543C83"/>
    <w:rsid w:val="0F6B6ACF"/>
    <w:rsid w:val="103A1502"/>
    <w:rsid w:val="105E1FFE"/>
    <w:rsid w:val="108439C2"/>
    <w:rsid w:val="108A602D"/>
    <w:rsid w:val="10A80D43"/>
    <w:rsid w:val="10FB2CA0"/>
    <w:rsid w:val="11192572"/>
    <w:rsid w:val="114C4D86"/>
    <w:rsid w:val="118544FC"/>
    <w:rsid w:val="122A1B3A"/>
    <w:rsid w:val="127056B7"/>
    <w:rsid w:val="12CD1B14"/>
    <w:rsid w:val="13F37E7B"/>
    <w:rsid w:val="14106BDB"/>
    <w:rsid w:val="14962E42"/>
    <w:rsid w:val="14A32F38"/>
    <w:rsid w:val="14CC5918"/>
    <w:rsid w:val="152A75C2"/>
    <w:rsid w:val="15C87A8E"/>
    <w:rsid w:val="15EB1CA5"/>
    <w:rsid w:val="162B671C"/>
    <w:rsid w:val="16F63FD8"/>
    <w:rsid w:val="172C32C4"/>
    <w:rsid w:val="18585655"/>
    <w:rsid w:val="1905466C"/>
    <w:rsid w:val="197B52AF"/>
    <w:rsid w:val="199213B6"/>
    <w:rsid w:val="19A942B1"/>
    <w:rsid w:val="1A495B07"/>
    <w:rsid w:val="1A940BF1"/>
    <w:rsid w:val="1B111707"/>
    <w:rsid w:val="1B6A3633"/>
    <w:rsid w:val="1BFD7218"/>
    <w:rsid w:val="1C865FB6"/>
    <w:rsid w:val="1CD5296E"/>
    <w:rsid w:val="1D4A507B"/>
    <w:rsid w:val="1E5237E4"/>
    <w:rsid w:val="21E66A34"/>
    <w:rsid w:val="223132C6"/>
    <w:rsid w:val="22B425B0"/>
    <w:rsid w:val="231A527A"/>
    <w:rsid w:val="23267C9A"/>
    <w:rsid w:val="23720AD5"/>
    <w:rsid w:val="23AA7D1C"/>
    <w:rsid w:val="23CC6C9E"/>
    <w:rsid w:val="23EE7A65"/>
    <w:rsid w:val="241B52FE"/>
    <w:rsid w:val="247067E8"/>
    <w:rsid w:val="247670B1"/>
    <w:rsid w:val="24C96FE9"/>
    <w:rsid w:val="24CA03D3"/>
    <w:rsid w:val="25534599"/>
    <w:rsid w:val="256866FE"/>
    <w:rsid w:val="25A84231"/>
    <w:rsid w:val="269E22C2"/>
    <w:rsid w:val="272446F2"/>
    <w:rsid w:val="273B35E7"/>
    <w:rsid w:val="28E66F76"/>
    <w:rsid w:val="295A520B"/>
    <w:rsid w:val="297C4B47"/>
    <w:rsid w:val="29CE150F"/>
    <w:rsid w:val="2BAB0D01"/>
    <w:rsid w:val="2C48137A"/>
    <w:rsid w:val="2D457906"/>
    <w:rsid w:val="2D6F10E8"/>
    <w:rsid w:val="2DED5143"/>
    <w:rsid w:val="2E045302"/>
    <w:rsid w:val="2E1C37BA"/>
    <w:rsid w:val="2E381EC9"/>
    <w:rsid w:val="2E386AC1"/>
    <w:rsid w:val="30036D5E"/>
    <w:rsid w:val="301E47C6"/>
    <w:rsid w:val="3058102B"/>
    <w:rsid w:val="30954B84"/>
    <w:rsid w:val="30DA42A5"/>
    <w:rsid w:val="317E4944"/>
    <w:rsid w:val="31D26F76"/>
    <w:rsid w:val="31E02124"/>
    <w:rsid w:val="323348D0"/>
    <w:rsid w:val="323643D6"/>
    <w:rsid w:val="32391458"/>
    <w:rsid w:val="33071D04"/>
    <w:rsid w:val="330B39A7"/>
    <w:rsid w:val="335A6376"/>
    <w:rsid w:val="33C467EC"/>
    <w:rsid w:val="33E42C6E"/>
    <w:rsid w:val="344B1A6F"/>
    <w:rsid w:val="349A5E37"/>
    <w:rsid w:val="34A111C0"/>
    <w:rsid w:val="352908E8"/>
    <w:rsid w:val="353000C7"/>
    <w:rsid w:val="3541789C"/>
    <w:rsid w:val="359C2E20"/>
    <w:rsid w:val="35A15112"/>
    <w:rsid w:val="35B178B7"/>
    <w:rsid w:val="35F0213B"/>
    <w:rsid w:val="362F6EF5"/>
    <w:rsid w:val="367B13F5"/>
    <w:rsid w:val="36A51565"/>
    <w:rsid w:val="36F1659F"/>
    <w:rsid w:val="3829791D"/>
    <w:rsid w:val="382C2CC5"/>
    <w:rsid w:val="3832088A"/>
    <w:rsid w:val="3878573B"/>
    <w:rsid w:val="389978DC"/>
    <w:rsid w:val="38F3369F"/>
    <w:rsid w:val="39A5573B"/>
    <w:rsid w:val="3A603038"/>
    <w:rsid w:val="3A654D86"/>
    <w:rsid w:val="3B3D2F3B"/>
    <w:rsid w:val="3BF96B70"/>
    <w:rsid w:val="3C0C3953"/>
    <w:rsid w:val="3CEE715E"/>
    <w:rsid w:val="3DC35A45"/>
    <w:rsid w:val="3DFC1396"/>
    <w:rsid w:val="3E00464C"/>
    <w:rsid w:val="3E2817DC"/>
    <w:rsid w:val="3E3436C7"/>
    <w:rsid w:val="3ED47AC0"/>
    <w:rsid w:val="3EF25BFF"/>
    <w:rsid w:val="3F2E1A2F"/>
    <w:rsid w:val="3F4B57E7"/>
    <w:rsid w:val="3F7B5D9B"/>
    <w:rsid w:val="3FA97292"/>
    <w:rsid w:val="403A3776"/>
    <w:rsid w:val="40452438"/>
    <w:rsid w:val="406F1C32"/>
    <w:rsid w:val="41361C57"/>
    <w:rsid w:val="415A3047"/>
    <w:rsid w:val="41F22862"/>
    <w:rsid w:val="420B7171"/>
    <w:rsid w:val="42343F29"/>
    <w:rsid w:val="42A55131"/>
    <w:rsid w:val="42DC5116"/>
    <w:rsid w:val="43EC3D31"/>
    <w:rsid w:val="44176941"/>
    <w:rsid w:val="44186678"/>
    <w:rsid w:val="443521CC"/>
    <w:rsid w:val="44A63477"/>
    <w:rsid w:val="44CC5B3C"/>
    <w:rsid w:val="451501F8"/>
    <w:rsid w:val="451A6081"/>
    <w:rsid w:val="459D25CE"/>
    <w:rsid w:val="46B13714"/>
    <w:rsid w:val="473348DA"/>
    <w:rsid w:val="4771596E"/>
    <w:rsid w:val="477B31B6"/>
    <w:rsid w:val="47BC4A89"/>
    <w:rsid w:val="48486132"/>
    <w:rsid w:val="486318EE"/>
    <w:rsid w:val="48940D00"/>
    <w:rsid w:val="48AA05E3"/>
    <w:rsid w:val="48C16F9E"/>
    <w:rsid w:val="48F814E2"/>
    <w:rsid w:val="49277676"/>
    <w:rsid w:val="4A8E1572"/>
    <w:rsid w:val="4B8C5556"/>
    <w:rsid w:val="4BF1215E"/>
    <w:rsid w:val="4BFA5912"/>
    <w:rsid w:val="4C726A21"/>
    <w:rsid w:val="4C81118C"/>
    <w:rsid w:val="4C8F3BDF"/>
    <w:rsid w:val="4C9C1301"/>
    <w:rsid w:val="4CAD1218"/>
    <w:rsid w:val="4D017694"/>
    <w:rsid w:val="4E0E0A95"/>
    <w:rsid w:val="4E6D4618"/>
    <w:rsid w:val="4F772A1B"/>
    <w:rsid w:val="4FEF4073"/>
    <w:rsid w:val="508E2C44"/>
    <w:rsid w:val="513B3F8D"/>
    <w:rsid w:val="514565AC"/>
    <w:rsid w:val="516F73F4"/>
    <w:rsid w:val="51D25232"/>
    <w:rsid w:val="51EE45DE"/>
    <w:rsid w:val="51F14741"/>
    <w:rsid w:val="52D71B70"/>
    <w:rsid w:val="53A16A7D"/>
    <w:rsid w:val="547A1AF1"/>
    <w:rsid w:val="55AE5631"/>
    <w:rsid w:val="57061CFB"/>
    <w:rsid w:val="57115AC4"/>
    <w:rsid w:val="57501534"/>
    <w:rsid w:val="57D442DE"/>
    <w:rsid w:val="57FA4985"/>
    <w:rsid w:val="58121FCB"/>
    <w:rsid w:val="583C6C3D"/>
    <w:rsid w:val="58697DF9"/>
    <w:rsid w:val="5898541E"/>
    <w:rsid w:val="591B401E"/>
    <w:rsid w:val="59E234A1"/>
    <w:rsid w:val="59ED2E8F"/>
    <w:rsid w:val="5A7C2613"/>
    <w:rsid w:val="5ACB0AF7"/>
    <w:rsid w:val="5B7801E3"/>
    <w:rsid w:val="5B953290"/>
    <w:rsid w:val="5B983DE6"/>
    <w:rsid w:val="5C3F0C6F"/>
    <w:rsid w:val="5CB4699C"/>
    <w:rsid w:val="5D8F371B"/>
    <w:rsid w:val="5D905D42"/>
    <w:rsid w:val="5E26316D"/>
    <w:rsid w:val="5E4325E2"/>
    <w:rsid w:val="5E7E3E0E"/>
    <w:rsid w:val="5EB43C17"/>
    <w:rsid w:val="5F645D11"/>
    <w:rsid w:val="602374CE"/>
    <w:rsid w:val="603F02AB"/>
    <w:rsid w:val="6053558F"/>
    <w:rsid w:val="613C1C58"/>
    <w:rsid w:val="617C608A"/>
    <w:rsid w:val="617F4ABC"/>
    <w:rsid w:val="620A54FC"/>
    <w:rsid w:val="62134735"/>
    <w:rsid w:val="62823AF7"/>
    <w:rsid w:val="62997F75"/>
    <w:rsid w:val="62D21FE5"/>
    <w:rsid w:val="632475CE"/>
    <w:rsid w:val="63E56C3B"/>
    <w:rsid w:val="641B5E76"/>
    <w:rsid w:val="655C7A7D"/>
    <w:rsid w:val="655F3B87"/>
    <w:rsid w:val="65B84BB8"/>
    <w:rsid w:val="66734BBB"/>
    <w:rsid w:val="66950C88"/>
    <w:rsid w:val="66F4378B"/>
    <w:rsid w:val="66F444F8"/>
    <w:rsid w:val="67244C56"/>
    <w:rsid w:val="678D713B"/>
    <w:rsid w:val="68607B64"/>
    <w:rsid w:val="686C1288"/>
    <w:rsid w:val="68E23EE4"/>
    <w:rsid w:val="69C17ABA"/>
    <w:rsid w:val="6A65692D"/>
    <w:rsid w:val="6AE10A29"/>
    <w:rsid w:val="6B625F3A"/>
    <w:rsid w:val="6B7C5CD4"/>
    <w:rsid w:val="6B7D5B7D"/>
    <w:rsid w:val="6B8D0968"/>
    <w:rsid w:val="6CC40DE7"/>
    <w:rsid w:val="6D86251F"/>
    <w:rsid w:val="6E124517"/>
    <w:rsid w:val="6EF96D5A"/>
    <w:rsid w:val="6F4F3738"/>
    <w:rsid w:val="70EE7A3A"/>
    <w:rsid w:val="70FA7FA8"/>
    <w:rsid w:val="71BD3EAB"/>
    <w:rsid w:val="72217914"/>
    <w:rsid w:val="723E2B32"/>
    <w:rsid w:val="725C7288"/>
    <w:rsid w:val="726B7630"/>
    <w:rsid w:val="73031E85"/>
    <w:rsid w:val="741D4C1B"/>
    <w:rsid w:val="749660D1"/>
    <w:rsid w:val="74996101"/>
    <w:rsid w:val="75666ED2"/>
    <w:rsid w:val="75A16904"/>
    <w:rsid w:val="75B30A96"/>
    <w:rsid w:val="77746824"/>
    <w:rsid w:val="78010D34"/>
    <w:rsid w:val="786E48C1"/>
    <w:rsid w:val="78AB0F92"/>
    <w:rsid w:val="78C21739"/>
    <w:rsid w:val="7938009E"/>
    <w:rsid w:val="79384176"/>
    <w:rsid w:val="7991131B"/>
    <w:rsid w:val="79A40011"/>
    <w:rsid w:val="79A50504"/>
    <w:rsid w:val="79DE6F3A"/>
    <w:rsid w:val="7A5664B8"/>
    <w:rsid w:val="7AE57CE1"/>
    <w:rsid w:val="7B3043D9"/>
    <w:rsid w:val="7B595BA4"/>
    <w:rsid w:val="7B7653A2"/>
    <w:rsid w:val="7BC35C95"/>
    <w:rsid w:val="7BD73C4C"/>
    <w:rsid w:val="7CA10DC3"/>
    <w:rsid w:val="7D55400A"/>
    <w:rsid w:val="7D682F94"/>
    <w:rsid w:val="7DD70B98"/>
    <w:rsid w:val="7DE86053"/>
    <w:rsid w:val="7DEF03A6"/>
    <w:rsid w:val="7E254B4F"/>
    <w:rsid w:val="7EA66B2B"/>
    <w:rsid w:val="7EAE610E"/>
    <w:rsid w:val="7F5F2421"/>
    <w:rsid w:val="7FAC0AC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自选图形 149"/>
        <o:r id="V:Rule2" type="connector" idref="#_x0000_s1038"/>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9" w:name="heading 5" w:locked="1"/>
    <w:lsdException w:qFormat="1" w:uiPriority="9" w:name="heading 6" w:locked="1"/>
    <w:lsdException w:qFormat="1" w:unhideWhenUsed="0" w:uiPriority="99" w:semiHidden="0" w:name="heading 7"/>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nhideWhenUsed="0" w:uiPriority="99" w:semiHidden="0" w:name="Normal Indent"/>
    <w:lsdException w:uiPriority="99" w:name="footnote text" w:locked="1"/>
    <w:lsdException w:qFormat="1" w:unhideWhenUsed="0" w:uiPriority="99" w:semiHidden="0" w:name="annotation text"/>
    <w:lsdException w:unhideWhenUsed="0" w:uiPriority="99" w:semiHidden="0" w:name="header"/>
    <w:lsdException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semiHidden="0"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qFormat="1" w:unhideWhenUsed="0" w:uiPriority="99" w:semiHidden="0" w:name="List"/>
    <w:lsdException w:uiPriority="99" w:name="List Bullet" w:locked="1"/>
    <w:lsdException w:uiPriority="99" w:name="List Number" w:locked="1"/>
    <w:lsdException w:uiPriority="99" w:name="List 2" w:locked="1"/>
    <w:lsdException w:qFormat="1" w:unhideWhenUsed="0" w:uiPriority="99" w:semiHidden="0" w:name="List 3"/>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qFormat="1" w:unhideWhenUsed="0" w:uiPriority="99" w:semiHidden="0" w:name="Date"/>
    <w:lsdException w:uiPriority="99" w:name="Body Text First Indent" w:locked="1"/>
    <w:lsdException w:uiPriority="99" w:name="Body Text First Indent 2" w:locked="1"/>
    <w:lsdException w:uiPriority="99" w:name="Note Heading" w:locked="1"/>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semiHidden="0" w:name="Document Map"/>
    <w:lsdException w:qFormat="1" w:unhideWhenUsed="0" w:uiPriority="99" w:semiHidden="0" w:name="Plain Text"/>
    <w:lsdException w:uiPriority="99" w:name="E-mail Signature" w:locked="1"/>
    <w:lsdException w:qFormat="1" w:unhideWhenUsed="0" w:uiPriority="99" w:semiHidden="0" w:name="Normal (Web)"/>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nhideWhenUsed="0" w:uiPriority="99" w:semiHidden="0" w:name="HTML Preformatted"/>
    <w:lsdException w:uiPriority="99" w:name="HTML Sample" w:locked="1"/>
    <w:lsdException w:uiPriority="99" w:name="HTML Typewriter" w:locked="1"/>
    <w:lsdException w:uiPriority="99" w:name="HTML Variable" w:locked="1"/>
    <w:lsdException w:uiPriority="99" w:name="Normal Table"/>
    <w:lsdException w:qFormat="1" w:unhideWhenUsed="0" w:uiPriority="99" w:semiHidden="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semiHidden="0" w:name="Balloon Text"/>
    <w:lsdException w:qFormat="1" w:unhideWhenUsed="0" w:uiPriority="5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7"/>
    <w:qFormat/>
    <w:uiPriority w:val="99"/>
    <w:pPr>
      <w:keepNext/>
      <w:jc w:val="center"/>
      <w:outlineLvl w:val="0"/>
    </w:pPr>
    <w:rPr>
      <w:sz w:val="28"/>
      <w:szCs w:val="20"/>
    </w:rPr>
  </w:style>
  <w:style w:type="paragraph" w:styleId="4">
    <w:name w:val="heading 2"/>
    <w:basedOn w:val="1"/>
    <w:next w:val="1"/>
    <w:link w:val="38"/>
    <w:qFormat/>
    <w:uiPriority w:val="99"/>
    <w:pPr>
      <w:keepNext/>
      <w:keepLines/>
      <w:spacing w:before="260" w:after="260" w:line="413" w:lineRule="auto"/>
      <w:outlineLvl w:val="1"/>
    </w:pPr>
    <w:rPr>
      <w:rFonts w:ascii="Arial" w:hAnsi="Arial" w:eastAsia="黑体"/>
      <w:b/>
      <w:bCs/>
      <w:sz w:val="32"/>
      <w:szCs w:val="32"/>
    </w:rPr>
  </w:style>
  <w:style w:type="paragraph" w:styleId="5">
    <w:name w:val="heading 3"/>
    <w:basedOn w:val="1"/>
    <w:next w:val="1"/>
    <w:link w:val="39"/>
    <w:qFormat/>
    <w:uiPriority w:val="99"/>
    <w:pPr>
      <w:keepNext/>
      <w:keepLines/>
      <w:spacing w:before="260" w:after="260" w:line="413" w:lineRule="auto"/>
      <w:outlineLvl w:val="2"/>
    </w:pPr>
    <w:rPr>
      <w:b/>
      <w:bCs/>
      <w:sz w:val="32"/>
      <w:szCs w:val="32"/>
    </w:rPr>
  </w:style>
  <w:style w:type="paragraph" w:styleId="6">
    <w:name w:val="heading 4"/>
    <w:basedOn w:val="1"/>
    <w:next w:val="1"/>
    <w:link w:val="40"/>
    <w:qFormat/>
    <w:uiPriority w:val="99"/>
    <w:pPr>
      <w:keepNext/>
      <w:jc w:val="center"/>
      <w:outlineLvl w:val="3"/>
    </w:pPr>
    <w:rPr>
      <w:sz w:val="28"/>
    </w:rPr>
  </w:style>
  <w:style w:type="paragraph" w:styleId="7">
    <w:name w:val="heading 6"/>
    <w:basedOn w:val="1"/>
    <w:next w:val="1"/>
    <w:link w:val="231"/>
    <w:semiHidden/>
    <w:unhideWhenUsed/>
    <w:qFormat/>
    <w:locked/>
    <w:uiPriority w:val="9"/>
    <w:pPr>
      <w:keepNext/>
      <w:keepLines/>
      <w:spacing w:before="240" w:after="64" w:line="320" w:lineRule="auto"/>
      <w:outlineLvl w:val="5"/>
    </w:pPr>
    <w:rPr>
      <w:rFonts w:asciiTheme="majorHAnsi" w:hAnsiTheme="majorHAnsi" w:eastAsiaTheme="majorEastAsia" w:cstheme="majorBidi"/>
      <w:b/>
      <w:bCs/>
      <w:sz w:val="24"/>
    </w:rPr>
  </w:style>
  <w:style w:type="paragraph" w:styleId="8">
    <w:name w:val="heading 7"/>
    <w:basedOn w:val="1"/>
    <w:next w:val="1"/>
    <w:link w:val="41"/>
    <w:qFormat/>
    <w:uiPriority w:val="99"/>
    <w:pPr>
      <w:keepNext/>
      <w:keepLines/>
      <w:spacing w:before="240" w:after="64" w:line="320" w:lineRule="auto"/>
      <w:outlineLvl w:val="6"/>
    </w:pPr>
    <w:rPr>
      <w:b/>
      <w:bCs/>
      <w:sz w:val="24"/>
    </w:rPr>
  </w:style>
  <w:style w:type="character" w:default="1" w:styleId="31">
    <w:name w:val="Default Paragraph Font"/>
    <w:semiHidden/>
    <w:unhideWhenUsed/>
    <w:uiPriority w:val="1"/>
  </w:style>
  <w:style w:type="table" w:default="1" w:styleId="29">
    <w:name w:val="Normal Table"/>
    <w:semiHidden/>
    <w:unhideWhenUsed/>
    <w:uiPriority w:val="99"/>
    <w:tblPr>
      <w:tblCellMar>
        <w:top w:w="0" w:type="dxa"/>
        <w:left w:w="108" w:type="dxa"/>
        <w:bottom w:w="0" w:type="dxa"/>
        <w:right w:w="108" w:type="dxa"/>
      </w:tblCellMar>
    </w:tblPr>
  </w:style>
  <w:style w:type="paragraph" w:styleId="2">
    <w:name w:val="Normal Indent"/>
    <w:basedOn w:val="1"/>
    <w:link w:val="78"/>
    <w:qFormat/>
    <w:uiPriority w:val="99"/>
    <w:pPr>
      <w:ind w:firstLine="420" w:firstLineChars="200"/>
    </w:pPr>
    <w:rPr>
      <w:szCs w:val="20"/>
    </w:rPr>
  </w:style>
  <w:style w:type="paragraph" w:styleId="9">
    <w:name w:val="List 3"/>
    <w:basedOn w:val="1"/>
    <w:qFormat/>
    <w:uiPriority w:val="99"/>
    <w:pPr>
      <w:ind w:left="100" w:leftChars="400" w:hanging="200" w:hangingChars="200"/>
    </w:pPr>
  </w:style>
  <w:style w:type="paragraph" w:styleId="10">
    <w:name w:val="caption"/>
    <w:basedOn w:val="1"/>
    <w:next w:val="1"/>
    <w:qFormat/>
    <w:uiPriority w:val="99"/>
    <w:pPr>
      <w:keepNext/>
      <w:spacing w:line="360" w:lineRule="auto"/>
      <w:jc w:val="center"/>
    </w:pPr>
    <w:rPr>
      <w:rFonts w:ascii="宋体" w:hAnsi="宋体"/>
      <w:b/>
      <w:sz w:val="24"/>
    </w:rPr>
  </w:style>
  <w:style w:type="paragraph" w:styleId="11">
    <w:name w:val="Document Map"/>
    <w:basedOn w:val="1"/>
    <w:link w:val="45"/>
    <w:qFormat/>
    <w:uiPriority w:val="99"/>
    <w:pPr>
      <w:shd w:val="clear" w:color="auto" w:fill="000080"/>
    </w:pPr>
  </w:style>
  <w:style w:type="paragraph" w:styleId="12">
    <w:name w:val="annotation text"/>
    <w:basedOn w:val="1"/>
    <w:link w:val="42"/>
    <w:qFormat/>
    <w:uiPriority w:val="99"/>
    <w:pPr>
      <w:jc w:val="left"/>
    </w:pPr>
  </w:style>
  <w:style w:type="paragraph" w:styleId="13">
    <w:name w:val="Body Text 3"/>
    <w:basedOn w:val="1"/>
    <w:link w:val="46"/>
    <w:qFormat/>
    <w:uiPriority w:val="99"/>
    <w:rPr>
      <w:color w:val="FF0000"/>
    </w:rPr>
  </w:style>
  <w:style w:type="paragraph" w:styleId="14">
    <w:name w:val="Body Text"/>
    <w:basedOn w:val="1"/>
    <w:link w:val="47"/>
    <w:qFormat/>
    <w:uiPriority w:val="99"/>
    <w:rPr>
      <w:sz w:val="24"/>
      <w:szCs w:val="20"/>
    </w:rPr>
  </w:style>
  <w:style w:type="paragraph" w:styleId="15">
    <w:name w:val="Body Text Indent"/>
    <w:basedOn w:val="1"/>
    <w:link w:val="49"/>
    <w:qFormat/>
    <w:uiPriority w:val="99"/>
    <w:pPr>
      <w:adjustRightInd w:val="0"/>
      <w:spacing w:line="312" w:lineRule="atLeast"/>
      <w:ind w:firstLine="540"/>
      <w:textAlignment w:val="baseline"/>
    </w:pPr>
    <w:rPr>
      <w:rFonts w:ascii="宋体"/>
      <w:kern w:val="0"/>
      <w:sz w:val="30"/>
    </w:rPr>
  </w:style>
  <w:style w:type="paragraph" w:styleId="16">
    <w:name w:val="Plain Text"/>
    <w:basedOn w:val="1"/>
    <w:link w:val="50"/>
    <w:qFormat/>
    <w:uiPriority w:val="99"/>
    <w:pPr>
      <w:spacing w:before="120" w:after="120"/>
      <w:ind w:firstLine="629"/>
    </w:pPr>
    <w:rPr>
      <w:rFonts w:ascii="宋体" w:hAnsi="Courier New"/>
      <w:sz w:val="30"/>
      <w:szCs w:val="20"/>
    </w:rPr>
  </w:style>
  <w:style w:type="paragraph" w:styleId="17">
    <w:name w:val="Date"/>
    <w:basedOn w:val="1"/>
    <w:next w:val="1"/>
    <w:link w:val="52"/>
    <w:qFormat/>
    <w:uiPriority w:val="99"/>
    <w:rPr>
      <w:sz w:val="28"/>
      <w:szCs w:val="20"/>
    </w:rPr>
  </w:style>
  <w:style w:type="paragraph" w:styleId="18">
    <w:name w:val="Body Text Indent 2"/>
    <w:basedOn w:val="1"/>
    <w:link w:val="53"/>
    <w:qFormat/>
    <w:uiPriority w:val="99"/>
    <w:pPr>
      <w:tabs>
        <w:tab w:val="left" w:pos="660"/>
      </w:tabs>
      <w:spacing w:line="440" w:lineRule="atLeast"/>
      <w:ind w:firstLine="480" w:firstLineChars="200"/>
    </w:pPr>
    <w:rPr>
      <w:bCs/>
      <w:sz w:val="24"/>
    </w:rPr>
  </w:style>
  <w:style w:type="paragraph" w:styleId="19">
    <w:name w:val="Balloon Text"/>
    <w:basedOn w:val="1"/>
    <w:link w:val="54"/>
    <w:qFormat/>
    <w:uiPriority w:val="99"/>
    <w:rPr>
      <w:sz w:val="18"/>
      <w:szCs w:val="18"/>
    </w:rPr>
  </w:style>
  <w:style w:type="paragraph" w:styleId="20">
    <w:name w:val="footer"/>
    <w:basedOn w:val="1"/>
    <w:link w:val="56"/>
    <w:uiPriority w:val="99"/>
    <w:pPr>
      <w:tabs>
        <w:tab w:val="center" w:pos="4153"/>
        <w:tab w:val="right" w:pos="8306"/>
      </w:tabs>
      <w:snapToGrid w:val="0"/>
      <w:jc w:val="left"/>
    </w:pPr>
    <w:rPr>
      <w:sz w:val="18"/>
      <w:szCs w:val="18"/>
    </w:rPr>
  </w:style>
  <w:style w:type="paragraph" w:styleId="21">
    <w:name w:val="header"/>
    <w:basedOn w:val="1"/>
    <w:link w:val="59"/>
    <w:uiPriority w:val="99"/>
    <w:pPr>
      <w:tabs>
        <w:tab w:val="center" w:pos="4153"/>
        <w:tab w:val="right" w:pos="8306"/>
      </w:tabs>
      <w:snapToGrid w:val="0"/>
      <w:jc w:val="center"/>
    </w:pPr>
    <w:rPr>
      <w:sz w:val="18"/>
      <w:szCs w:val="18"/>
    </w:rPr>
  </w:style>
  <w:style w:type="paragraph" w:styleId="22">
    <w:name w:val="List"/>
    <w:basedOn w:val="1"/>
    <w:qFormat/>
    <w:uiPriority w:val="99"/>
    <w:pPr>
      <w:ind w:left="200" w:hanging="200" w:hangingChars="200"/>
    </w:pPr>
  </w:style>
  <w:style w:type="paragraph" w:styleId="23">
    <w:name w:val="Body Text Indent 3"/>
    <w:basedOn w:val="1"/>
    <w:link w:val="61"/>
    <w:qFormat/>
    <w:uiPriority w:val="99"/>
    <w:pPr>
      <w:spacing w:line="500" w:lineRule="exact"/>
      <w:ind w:firstLine="480" w:firstLineChars="200"/>
    </w:pPr>
    <w:rPr>
      <w:rFonts w:ascii="宋体"/>
      <w:sz w:val="24"/>
    </w:rPr>
  </w:style>
  <w:style w:type="paragraph" w:styleId="24">
    <w:name w:val="Body Text 2"/>
    <w:basedOn w:val="1"/>
    <w:link w:val="63"/>
    <w:qFormat/>
    <w:uiPriority w:val="99"/>
    <w:rPr>
      <w:color w:val="800000"/>
    </w:rPr>
  </w:style>
  <w:style w:type="paragraph" w:styleId="25">
    <w:name w:val="HTML Preformatted"/>
    <w:basedOn w:val="1"/>
    <w:link w:val="64"/>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6">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27">
    <w:name w:val="Title"/>
    <w:basedOn w:val="1"/>
    <w:link w:val="65"/>
    <w:qFormat/>
    <w:uiPriority w:val="99"/>
    <w:pPr>
      <w:spacing w:before="60" w:after="60"/>
      <w:ind w:left="210" w:leftChars="100"/>
      <w:outlineLvl w:val="0"/>
    </w:pPr>
    <w:rPr>
      <w:rFonts w:ascii="Arial" w:hAnsi="Arial" w:cs="Arial"/>
      <w:b/>
      <w:bCs/>
      <w:sz w:val="24"/>
      <w:szCs w:val="32"/>
    </w:rPr>
  </w:style>
  <w:style w:type="paragraph" w:styleId="28">
    <w:name w:val="annotation subject"/>
    <w:basedOn w:val="12"/>
    <w:next w:val="12"/>
    <w:link w:val="44"/>
    <w:qFormat/>
    <w:uiPriority w:val="99"/>
    <w:rPr>
      <w:b/>
      <w:bCs/>
    </w:rPr>
  </w:style>
  <w:style w:type="table" w:styleId="30">
    <w:name w:val="Table Grid"/>
    <w:basedOn w:val="29"/>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2">
    <w:name w:val="Strong"/>
    <w:qFormat/>
    <w:uiPriority w:val="99"/>
    <w:rPr>
      <w:rFonts w:cs="Times New Roman"/>
      <w:b/>
    </w:rPr>
  </w:style>
  <w:style w:type="character" w:styleId="33">
    <w:name w:val="page number"/>
    <w:qFormat/>
    <w:uiPriority w:val="99"/>
    <w:rPr>
      <w:rFonts w:cs="Times New Roman"/>
    </w:rPr>
  </w:style>
  <w:style w:type="character" w:styleId="34">
    <w:name w:val="FollowedHyperlink"/>
    <w:qFormat/>
    <w:uiPriority w:val="99"/>
    <w:rPr>
      <w:rFonts w:cs="Times New Roman"/>
      <w:color w:val="800080"/>
      <w:u w:val="single"/>
    </w:rPr>
  </w:style>
  <w:style w:type="character" w:styleId="35">
    <w:name w:val="Hyperlink"/>
    <w:qFormat/>
    <w:uiPriority w:val="99"/>
    <w:rPr>
      <w:rFonts w:cs="Times New Roman"/>
      <w:color w:val="0000CC"/>
      <w:u w:val="single"/>
    </w:rPr>
  </w:style>
  <w:style w:type="character" w:styleId="36">
    <w:name w:val="annotation reference"/>
    <w:qFormat/>
    <w:uiPriority w:val="99"/>
    <w:rPr>
      <w:rFonts w:cs="Times New Roman"/>
      <w:sz w:val="21"/>
    </w:rPr>
  </w:style>
  <w:style w:type="character" w:customStyle="1" w:styleId="37">
    <w:name w:val="标题 1 字符"/>
    <w:link w:val="3"/>
    <w:qFormat/>
    <w:locked/>
    <w:uiPriority w:val="99"/>
    <w:rPr>
      <w:b/>
      <w:kern w:val="44"/>
      <w:sz w:val="44"/>
    </w:rPr>
  </w:style>
  <w:style w:type="character" w:customStyle="1" w:styleId="38">
    <w:name w:val="标题 2 字符"/>
    <w:link w:val="4"/>
    <w:semiHidden/>
    <w:qFormat/>
    <w:locked/>
    <w:uiPriority w:val="99"/>
    <w:rPr>
      <w:rFonts w:ascii="等线 Light" w:hAnsi="等线 Light" w:eastAsia="等线 Light"/>
      <w:b/>
      <w:sz w:val="32"/>
    </w:rPr>
  </w:style>
  <w:style w:type="character" w:customStyle="1" w:styleId="39">
    <w:name w:val="标题 3 字符"/>
    <w:link w:val="5"/>
    <w:semiHidden/>
    <w:qFormat/>
    <w:locked/>
    <w:uiPriority w:val="99"/>
    <w:rPr>
      <w:b/>
      <w:sz w:val="32"/>
    </w:rPr>
  </w:style>
  <w:style w:type="character" w:customStyle="1" w:styleId="40">
    <w:name w:val="标题 4 字符"/>
    <w:link w:val="6"/>
    <w:semiHidden/>
    <w:qFormat/>
    <w:locked/>
    <w:uiPriority w:val="99"/>
    <w:rPr>
      <w:rFonts w:ascii="等线 Light" w:hAnsi="等线 Light" w:eastAsia="等线 Light"/>
      <w:b/>
      <w:sz w:val="28"/>
    </w:rPr>
  </w:style>
  <w:style w:type="character" w:customStyle="1" w:styleId="41">
    <w:name w:val="标题 7 字符"/>
    <w:link w:val="8"/>
    <w:semiHidden/>
    <w:locked/>
    <w:uiPriority w:val="99"/>
    <w:rPr>
      <w:b/>
      <w:sz w:val="24"/>
    </w:rPr>
  </w:style>
  <w:style w:type="character" w:customStyle="1" w:styleId="42">
    <w:name w:val="批注文字 字符"/>
    <w:link w:val="12"/>
    <w:qFormat/>
    <w:locked/>
    <w:uiPriority w:val="99"/>
    <w:rPr>
      <w:rFonts w:eastAsia="宋体"/>
      <w:kern w:val="2"/>
      <w:sz w:val="24"/>
      <w:lang w:val="en-US" w:eastAsia="zh-CN"/>
    </w:rPr>
  </w:style>
  <w:style w:type="character" w:customStyle="1" w:styleId="43">
    <w:name w:val="15"/>
    <w:qFormat/>
    <w:uiPriority w:val="99"/>
    <w:rPr>
      <w:rFonts w:ascii="Times New Roman" w:hAnsi="Times New Roman"/>
      <w:sz w:val="20"/>
    </w:rPr>
  </w:style>
  <w:style w:type="character" w:customStyle="1" w:styleId="44">
    <w:name w:val="批注主题 字符"/>
    <w:link w:val="28"/>
    <w:semiHidden/>
    <w:qFormat/>
    <w:locked/>
    <w:uiPriority w:val="99"/>
    <w:rPr>
      <w:rFonts w:ascii="Times New Roman" w:hAnsi="Times New Roman" w:eastAsia="宋体"/>
      <w:b/>
      <w:kern w:val="2"/>
      <w:sz w:val="24"/>
      <w:lang w:val="en-US" w:eastAsia="zh-CN"/>
    </w:rPr>
  </w:style>
  <w:style w:type="character" w:customStyle="1" w:styleId="45">
    <w:name w:val="文档结构图 字符"/>
    <w:link w:val="11"/>
    <w:semiHidden/>
    <w:qFormat/>
    <w:locked/>
    <w:uiPriority w:val="99"/>
    <w:rPr>
      <w:rFonts w:ascii="Microsoft YaHei UI" w:eastAsia="Microsoft YaHei UI"/>
      <w:sz w:val="18"/>
    </w:rPr>
  </w:style>
  <w:style w:type="character" w:customStyle="1" w:styleId="46">
    <w:name w:val="正文文本 3 字符"/>
    <w:link w:val="13"/>
    <w:semiHidden/>
    <w:qFormat/>
    <w:locked/>
    <w:uiPriority w:val="99"/>
    <w:rPr>
      <w:sz w:val="16"/>
    </w:rPr>
  </w:style>
  <w:style w:type="character" w:customStyle="1" w:styleId="47">
    <w:name w:val="正文文本 字符"/>
    <w:link w:val="14"/>
    <w:qFormat/>
    <w:locked/>
    <w:uiPriority w:val="99"/>
    <w:rPr>
      <w:rFonts w:eastAsia="宋体"/>
      <w:kern w:val="2"/>
      <w:sz w:val="24"/>
      <w:lang w:val="en-US" w:eastAsia="zh-CN"/>
    </w:rPr>
  </w:style>
  <w:style w:type="character" w:customStyle="1" w:styleId="48">
    <w:name w:val="不明显参考1"/>
    <w:qFormat/>
    <w:uiPriority w:val="99"/>
    <w:rPr>
      <w:sz w:val="24"/>
      <w:u w:val="single"/>
    </w:rPr>
  </w:style>
  <w:style w:type="character" w:customStyle="1" w:styleId="49">
    <w:name w:val="正文文本缩进 字符"/>
    <w:link w:val="15"/>
    <w:semiHidden/>
    <w:qFormat/>
    <w:locked/>
    <w:uiPriority w:val="99"/>
    <w:rPr>
      <w:sz w:val="24"/>
    </w:rPr>
  </w:style>
  <w:style w:type="character" w:customStyle="1" w:styleId="50">
    <w:name w:val="纯文本 字符"/>
    <w:link w:val="16"/>
    <w:qFormat/>
    <w:locked/>
    <w:uiPriority w:val="99"/>
    <w:rPr>
      <w:rFonts w:ascii="宋体" w:hAnsi="Courier New" w:eastAsia="宋体"/>
      <w:kern w:val="2"/>
      <w:sz w:val="30"/>
      <w:lang w:val="en-US" w:eastAsia="zh-CN"/>
    </w:rPr>
  </w:style>
  <w:style w:type="paragraph" w:customStyle="1" w:styleId="51">
    <w:name w:val="表名1"/>
    <w:basedOn w:val="1"/>
    <w:qFormat/>
    <w:uiPriority w:val="99"/>
    <w:pPr>
      <w:overflowPunct w:val="0"/>
      <w:autoSpaceDE w:val="0"/>
      <w:autoSpaceDN w:val="0"/>
      <w:adjustRightInd w:val="0"/>
      <w:spacing w:beforeLines="30" w:afterLines="30" w:line="480" w:lineRule="atLeast"/>
      <w:ind w:left="840" w:leftChars="400"/>
      <w:jc w:val="center"/>
      <w:textAlignment w:val="baseline"/>
    </w:pPr>
    <w:rPr>
      <w:b/>
      <w:bCs/>
      <w:kern w:val="0"/>
      <w:sz w:val="24"/>
      <w:szCs w:val="20"/>
    </w:rPr>
  </w:style>
  <w:style w:type="character" w:customStyle="1" w:styleId="52">
    <w:name w:val="日期 字符"/>
    <w:link w:val="17"/>
    <w:semiHidden/>
    <w:qFormat/>
    <w:locked/>
    <w:uiPriority w:val="99"/>
    <w:rPr>
      <w:sz w:val="24"/>
    </w:rPr>
  </w:style>
  <w:style w:type="character" w:customStyle="1" w:styleId="53">
    <w:name w:val="正文文本缩进 2 字符"/>
    <w:link w:val="18"/>
    <w:semiHidden/>
    <w:qFormat/>
    <w:locked/>
    <w:uiPriority w:val="99"/>
    <w:rPr>
      <w:sz w:val="24"/>
    </w:rPr>
  </w:style>
  <w:style w:type="character" w:customStyle="1" w:styleId="54">
    <w:name w:val="批注框文本 字符"/>
    <w:link w:val="19"/>
    <w:locked/>
    <w:uiPriority w:val="99"/>
    <w:rPr>
      <w:kern w:val="2"/>
      <w:sz w:val="18"/>
    </w:rPr>
  </w:style>
  <w:style w:type="paragraph" w:customStyle="1" w:styleId="55">
    <w:name w:val="表格内容居中"/>
    <w:uiPriority w:val="99"/>
    <w:pPr>
      <w:adjustRightInd w:val="0"/>
      <w:snapToGrid w:val="0"/>
      <w:jc w:val="center"/>
    </w:pPr>
    <w:rPr>
      <w:rFonts w:ascii="Times New Roman" w:hAnsi="Times New Roman" w:eastAsia="宋体" w:cs="Times New Roman"/>
      <w:sz w:val="21"/>
      <w:szCs w:val="21"/>
      <w:lang w:val="en-US" w:eastAsia="zh-CN" w:bidi="ar-SA"/>
    </w:rPr>
  </w:style>
  <w:style w:type="character" w:customStyle="1" w:styleId="56">
    <w:name w:val="页脚 字符"/>
    <w:link w:val="20"/>
    <w:locked/>
    <w:uiPriority w:val="99"/>
    <w:rPr>
      <w:kern w:val="2"/>
      <w:sz w:val="18"/>
    </w:rPr>
  </w:style>
  <w:style w:type="character" w:customStyle="1" w:styleId="57">
    <w:name w:val="表格 32 Char Char"/>
    <w:link w:val="58"/>
    <w:locked/>
    <w:uiPriority w:val="99"/>
    <w:rPr>
      <w:rFonts w:eastAsia="楷体_GB2312"/>
      <w:sz w:val="24"/>
      <w:lang w:val="en-US" w:eastAsia="zh-CN"/>
    </w:rPr>
  </w:style>
  <w:style w:type="paragraph" w:customStyle="1" w:styleId="58">
    <w:name w:val="表格 32"/>
    <w:basedOn w:val="1"/>
    <w:link w:val="57"/>
    <w:qFormat/>
    <w:uiPriority w:val="99"/>
    <w:pPr>
      <w:autoSpaceDE w:val="0"/>
      <w:autoSpaceDN w:val="0"/>
      <w:adjustRightInd w:val="0"/>
      <w:jc w:val="center"/>
      <w:textAlignment w:val="baseline"/>
    </w:pPr>
    <w:rPr>
      <w:rFonts w:eastAsia="楷体_GB2312"/>
      <w:kern w:val="0"/>
      <w:sz w:val="20"/>
    </w:rPr>
  </w:style>
  <w:style w:type="character" w:customStyle="1" w:styleId="59">
    <w:name w:val="页眉 字符"/>
    <w:link w:val="21"/>
    <w:qFormat/>
    <w:locked/>
    <w:uiPriority w:val="99"/>
    <w:rPr>
      <w:rFonts w:eastAsia="宋体"/>
      <w:kern w:val="2"/>
      <w:sz w:val="18"/>
    </w:rPr>
  </w:style>
  <w:style w:type="character" w:customStyle="1" w:styleId="60">
    <w:name w:val="在编文字 Char Char"/>
    <w:qFormat/>
    <w:uiPriority w:val="99"/>
    <w:rPr>
      <w:rFonts w:eastAsia="宋体"/>
      <w:kern w:val="2"/>
      <w:sz w:val="24"/>
      <w:lang w:val="en-US" w:eastAsia="zh-CN"/>
    </w:rPr>
  </w:style>
  <w:style w:type="character" w:customStyle="1" w:styleId="61">
    <w:name w:val="正文文本缩进 3 字符"/>
    <w:link w:val="23"/>
    <w:qFormat/>
    <w:locked/>
    <w:uiPriority w:val="99"/>
    <w:rPr>
      <w:rFonts w:ascii="宋体"/>
      <w:kern w:val="2"/>
      <w:sz w:val="24"/>
    </w:rPr>
  </w:style>
  <w:style w:type="character" w:customStyle="1" w:styleId="62">
    <w:name w:val="Char Char6"/>
    <w:qFormat/>
    <w:uiPriority w:val="99"/>
    <w:rPr>
      <w:rFonts w:ascii="宋体"/>
      <w:kern w:val="2"/>
      <w:sz w:val="24"/>
    </w:rPr>
  </w:style>
  <w:style w:type="character" w:customStyle="1" w:styleId="63">
    <w:name w:val="正文文本 2 字符"/>
    <w:link w:val="24"/>
    <w:semiHidden/>
    <w:locked/>
    <w:uiPriority w:val="99"/>
    <w:rPr>
      <w:sz w:val="24"/>
    </w:rPr>
  </w:style>
  <w:style w:type="character" w:customStyle="1" w:styleId="64">
    <w:name w:val="HTML 预设格式 字符"/>
    <w:link w:val="25"/>
    <w:semiHidden/>
    <w:qFormat/>
    <w:locked/>
    <w:uiPriority w:val="99"/>
    <w:rPr>
      <w:rFonts w:ascii="Courier New" w:hAnsi="Courier New"/>
      <w:sz w:val="20"/>
    </w:rPr>
  </w:style>
  <w:style w:type="character" w:customStyle="1" w:styleId="65">
    <w:name w:val="标题 字符"/>
    <w:link w:val="27"/>
    <w:qFormat/>
    <w:locked/>
    <w:uiPriority w:val="99"/>
    <w:rPr>
      <w:rFonts w:ascii="Arial" w:hAnsi="Arial"/>
      <w:b/>
      <w:kern w:val="2"/>
      <w:sz w:val="32"/>
    </w:rPr>
  </w:style>
  <w:style w:type="paragraph" w:customStyle="1" w:styleId="66">
    <w:name w:val="样式8"/>
    <w:basedOn w:val="1"/>
    <w:qFormat/>
    <w:uiPriority w:val="99"/>
    <w:pPr>
      <w:widowControl/>
      <w:adjustRightInd w:val="0"/>
      <w:snapToGrid w:val="0"/>
      <w:spacing w:beforeLines="50" w:line="288" w:lineRule="auto"/>
      <w:jc w:val="center"/>
    </w:pPr>
    <w:rPr>
      <w:rFonts w:ascii="宋体" w:hAnsi="宋体" w:cs="宋体"/>
      <w:b/>
      <w:kern w:val="0"/>
    </w:rPr>
  </w:style>
  <w:style w:type="paragraph" w:customStyle="1" w:styleId="67">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68">
    <w:name w:val="正文 首行缩进:  2 字符"/>
    <w:basedOn w:val="1"/>
    <w:qFormat/>
    <w:uiPriority w:val="99"/>
    <w:pPr>
      <w:ind w:firstLine="579" w:firstLineChars="200"/>
    </w:pPr>
    <w:rPr>
      <w:rFonts w:cs="宋体"/>
      <w:sz w:val="28"/>
      <w:szCs w:val="20"/>
    </w:rPr>
  </w:style>
  <w:style w:type="character" w:customStyle="1" w:styleId="69">
    <w:name w:val="报告表  段 Char Char"/>
    <w:link w:val="70"/>
    <w:qFormat/>
    <w:locked/>
    <w:uiPriority w:val="99"/>
    <w:rPr>
      <w:rFonts w:ascii="宋体" w:eastAsia="宋体"/>
      <w:sz w:val="24"/>
      <w:lang w:val="en-US" w:eastAsia="zh-CN"/>
    </w:rPr>
  </w:style>
  <w:style w:type="paragraph" w:customStyle="1" w:styleId="70">
    <w:name w:val="报告表  段"/>
    <w:basedOn w:val="1"/>
    <w:link w:val="69"/>
    <w:qFormat/>
    <w:uiPriority w:val="99"/>
    <w:pPr>
      <w:adjustRightInd w:val="0"/>
      <w:spacing w:line="360" w:lineRule="auto"/>
      <w:ind w:firstLine="505"/>
      <w:textAlignment w:val="baseline"/>
    </w:pPr>
    <w:rPr>
      <w:rFonts w:ascii="宋体"/>
      <w:kern w:val="0"/>
      <w:sz w:val="24"/>
      <w:szCs w:val="20"/>
    </w:rPr>
  </w:style>
  <w:style w:type="character" w:customStyle="1" w:styleId="71">
    <w:name w:val="style61"/>
    <w:qFormat/>
    <w:uiPriority w:val="99"/>
    <w:rPr>
      <w:b/>
      <w:color w:val="000000"/>
      <w:sz w:val="24"/>
    </w:rPr>
  </w:style>
  <w:style w:type="character" w:customStyle="1" w:styleId="72">
    <w:name w:val="三级标题 Char Char"/>
    <w:link w:val="73"/>
    <w:qFormat/>
    <w:locked/>
    <w:uiPriority w:val="99"/>
    <w:rPr>
      <w:rFonts w:ascii="宋体" w:hAnsi="宋体" w:eastAsia="宋体"/>
      <w:b/>
      <w:kern w:val="44"/>
      <w:sz w:val="24"/>
      <w:lang w:val="en-US" w:eastAsia="zh-CN"/>
    </w:rPr>
  </w:style>
  <w:style w:type="paragraph" w:customStyle="1" w:styleId="73">
    <w:name w:val="三级标题"/>
    <w:basedOn w:val="1"/>
    <w:link w:val="72"/>
    <w:qFormat/>
    <w:uiPriority w:val="99"/>
    <w:pPr>
      <w:tabs>
        <w:tab w:val="left" w:pos="630"/>
      </w:tabs>
      <w:spacing w:beforeLines="30" w:afterLines="30"/>
      <w:ind w:firstLine="482" w:firstLineChars="200"/>
      <w:outlineLvl w:val="0"/>
    </w:pPr>
    <w:rPr>
      <w:rFonts w:ascii="宋体" w:hAnsi="宋体"/>
      <w:b/>
      <w:kern w:val="44"/>
      <w:sz w:val="24"/>
    </w:rPr>
  </w:style>
  <w:style w:type="character" w:customStyle="1" w:styleId="74">
    <w:name w:val="二级标题 Char Char"/>
    <w:link w:val="75"/>
    <w:qFormat/>
    <w:locked/>
    <w:uiPriority w:val="99"/>
    <w:rPr>
      <w:b/>
      <w:kern w:val="44"/>
      <w:sz w:val="28"/>
    </w:rPr>
  </w:style>
  <w:style w:type="paragraph" w:customStyle="1" w:styleId="75">
    <w:name w:val="二级标题"/>
    <w:basedOn w:val="1"/>
    <w:link w:val="74"/>
    <w:qFormat/>
    <w:uiPriority w:val="99"/>
    <w:pPr>
      <w:tabs>
        <w:tab w:val="left" w:pos="630"/>
      </w:tabs>
      <w:spacing w:line="360" w:lineRule="auto"/>
      <w:outlineLvl w:val="0"/>
    </w:pPr>
    <w:rPr>
      <w:b/>
      <w:kern w:val="44"/>
      <w:sz w:val="28"/>
      <w:szCs w:val="28"/>
    </w:rPr>
  </w:style>
  <w:style w:type="character" w:customStyle="1" w:styleId="76">
    <w:name w:val="px141"/>
    <w:qFormat/>
    <w:uiPriority w:val="99"/>
    <w:rPr>
      <w:sz w:val="21"/>
    </w:rPr>
  </w:style>
  <w:style w:type="character" w:customStyle="1" w:styleId="77">
    <w:name w:val="正文（首行缩进两字） Char Char1"/>
    <w:qFormat/>
    <w:uiPriority w:val="99"/>
    <w:rPr>
      <w:rFonts w:eastAsia="宋体"/>
      <w:kern w:val="2"/>
      <w:sz w:val="21"/>
      <w:lang w:val="en-US" w:eastAsia="zh-CN"/>
    </w:rPr>
  </w:style>
  <w:style w:type="character" w:customStyle="1" w:styleId="78">
    <w:name w:val="正文缩进 字符"/>
    <w:link w:val="2"/>
    <w:qFormat/>
    <w:locked/>
    <w:uiPriority w:val="99"/>
    <w:rPr>
      <w:rFonts w:eastAsia="宋体"/>
      <w:kern w:val="2"/>
      <w:sz w:val="21"/>
      <w:lang w:val="en-US" w:eastAsia="zh-CN"/>
    </w:rPr>
  </w:style>
  <w:style w:type="character" w:customStyle="1" w:styleId="79">
    <w:name w:val="正文1 Char"/>
    <w:uiPriority w:val="99"/>
    <w:rPr>
      <w:rFonts w:eastAsia="楷体_GB2312"/>
      <w:kern w:val="2"/>
      <w:sz w:val="24"/>
      <w:lang w:val="en-US" w:eastAsia="zh-CN"/>
    </w:rPr>
  </w:style>
  <w:style w:type="character" w:customStyle="1" w:styleId="80">
    <w:name w:val="表格1 Char Char"/>
    <w:link w:val="81"/>
    <w:locked/>
    <w:uiPriority w:val="99"/>
    <w:rPr>
      <w:rFonts w:ascii="宋体" w:hAnsi="Impact" w:eastAsia="宋体"/>
      <w:kern w:val="24"/>
      <w:sz w:val="28"/>
      <w:lang w:val="en-US" w:eastAsia="zh-CN"/>
    </w:rPr>
  </w:style>
  <w:style w:type="paragraph" w:customStyle="1" w:styleId="81">
    <w:name w:val="表格1"/>
    <w:basedOn w:val="1"/>
    <w:next w:val="1"/>
    <w:link w:val="80"/>
    <w:uiPriority w:val="99"/>
    <w:pPr>
      <w:topLinePunct/>
      <w:autoSpaceDE w:val="0"/>
      <w:autoSpaceDN w:val="0"/>
      <w:adjustRightInd w:val="0"/>
      <w:jc w:val="center"/>
      <w:textAlignment w:val="baseline"/>
    </w:pPr>
    <w:rPr>
      <w:rFonts w:ascii="宋体" w:hAnsi="Impact"/>
      <w:kern w:val="24"/>
      <w:sz w:val="28"/>
      <w:szCs w:val="20"/>
    </w:rPr>
  </w:style>
  <w:style w:type="character" w:customStyle="1" w:styleId="82">
    <w:name w:val="正文缩进1 Char1"/>
    <w:link w:val="83"/>
    <w:locked/>
    <w:uiPriority w:val="99"/>
    <w:rPr>
      <w:kern w:val="1"/>
      <w:sz w:val="24"/>
      <w:lang w:eastAsia="ar-SA" w:bidi="ar-SA"/>
    </w:rPr>
  </w:style>
  <w:style w:type="paragraph" w:customStyle="1" w:styleId="83">
    <w:name w:val="正文缩进1"/>
    <w:basedOn w:val="1"/>
    <w:link w:val="82"/>
    <w:uiPriority w:val="99"/>
    <w:pPr>
      <w:suppressAutoHyphens/>
      <w:spacing w:line="360" w:lineRule="atLeast"/>
      <w:ind w:firstLine="420"/>
      <w:jc w:val="left"/>
      <w:textAlignment w:val="baseline"/>
    </w:pPr>
    <w:rPr>
      <w:kern w:val="1"/>
      <w:sz w:val="24"/>
      <w:szCs w:val="20"/>
      <w:lang w:eastAsia="ar-SA"/>
    </w:rPr>
  </w:style>
  <w:style w:type="character" w:customStyle="1" w:styleId="84">
    <w:name w:val="表格文字 Char Char"/>
    <w:link w:val="85"/>
    <w:locked/>
    <w:uiPriority w:val="99"/>
    <w:rPr>
      <w:rFonts w:eastAsia="宋体"/>
      <w:kern w:val="2"/>
      <w:position w:val="-10"/>
      <w:sz w:val="21"/>
      <w:lang w:val="en-US" w:eastAsia="zh-CN"/>
    </w:rPr>
  </w:style>
  <w:style w:type="paragraph" w:customStyle="1" w:styleId="85">
    <w:name w:val="表格文字"/>
    <w:basedOn w:val="1"/>
    <w:link w:val="84"/>
    <w:uiPriority w:val="99"/>
    <w:pPr>
      <w:tabs>
        <w:tab w:val="left" w:pos="-2848"/>
      </w:tabs>
      <w:spacing w:before="40" w:after="40" w:line="240" w:lineRule="atLeast"/>
      <w:jc w:val="center"/>
    </w:pPr>
    <w:rPr>
      <w:position w:val="-10"/>
      <w:szCs w:val="20"/>
    </w:rPr>
  </w:style>
  <w:style w:type="character" w:customStyle="1" w:styleId="86">
    <w:name w:val="引用 Char"/>
    <w:link w:val="87"/>
    <w:locked/>
    <w:uiPriority w:val="99"/>
    <w:rPr>
      <w:rFonts w:eastAsia="宋体"/>
      <w:b/>
      <w:kern w:val="2"/>
      <w:sz w:val="24"/>
      <w:lang w:val="en-US" w:eastAsia="zh-CN"/>
    </w:rPr>
  </w:style>
  <w:style w:type="paragraph" w:customStyle="1" w:styleId="87">
    <w:name w:val="引用1"/>
    <w:basedOn w:val="1"/>
    <w:next w:val="1"/>
    <w:link w:val="86"/>
    <w:uiPriority w:val="99"/>
    <w:pPr>
      <w:jc w:val="center"/>
    </w:pPr>
    <w:rPr>
      <w:b/>
      <w:iCs/>
    </w:rPr>
  </w:style>
  <w:style w:type="character" w:customStyle="1" w:styleId="88">
    <w:name w:val="报告 Char1"/>
    <w:link w:val="89"/>
    <w:locked/>
    <w:uiPriority w:val="99"/>
    <w:rPr>
      <w:rFonts w:eastAsia="宋体"/>
      <w:color w:val="000000"/>
      <w:sz w:val="36"/>
      <w:lang w:val="en-US" w:eastAsia="zh-CN"/>
    </w:rPr>
  </w:style>
  <w:style w:type="paragraph" w:customStyle="1" w:styleId="89">
    <w:name w:val="报告"/>
    <w:basedOn w:val="1"/>
    <w:link w:val="88"/>
    <w:qFormat/>
    <w:uiPriority w:val="99"/>
    <w:pPr>
      <w:widowControl/>
      <w:suppressAutoHyphens/>
      <w:overflowPunct w:val="0"/>
      <w:topLinePunct/>
      <w:spacing w:line="360" w:lineRule="auto"/>
      <w:ind w:firstLine="480" w:firstLineChars="200"/>
      <w:textAlignment w:val="baseline"/>
    </w:pPr>
    <w:rPr>
      <w:bCs/>
      <w:color w:val="000000"/>
      <w:kern w:val="0"/>
      <w:sz w:val="24"/>
      <w:szCs w:val="36"/>
    </w:rPr>
  </w:style>
  <w:style w:type="character" w:customStyle="1" w:styleId="90">
    <w:name w:val="bOK Char Char"/>
    <w:qFormat/>
    <w:uiPriority w:val="99"/>
    <w:rPr>
      <w:rFonts w:ascii="Arial" w:hAnsi="Arial" w:eastAsia="宋体"/>
      <w:color w:val="000000"/>
      <w:kern w:val="2"/>
      <w:sz w:val="18"/>
      <w:lang w:val="en-US" w:eastAsia="zh-CN"/>
    </w:rPr>
  </w:style>
  <w:style w:type="character" w:customStyle="1" w:styleId="91">
    <w:name w:val="Char Char7"/>
    <w:qFormat/>
    <w:uiPriority w:val="99"/>
    <w:rPr>
      <w:rFonts w:ascii="宋体" w:hAnsi="Times New Roman" w:eastAsia="宋体"/>
      <w:kern w:val="2"/>
      <w:sz w:val="24"/>
      <w:lang w:eastAsia="zh-CN"/>
    </w:rPr>
  </w:style>
  <w:style w:type="character" w:customStyle="1" w:styleId="92">
    <w:name w:val="报告表  段 Char"/>
    <w:qFormat/>
    <w:locked/>
    <w:uiPriority w:val="99"/>
    <w:rPr>
      <w:rFonts w:ascii="宋体" w:eastAsia="宋体"/>
      <w:sz w:val="24"/>
      <w:lang w:val="en-US" w:eastAsia="zh-CN"/>
    </w:rPr>
  </w:style>
  <w:style w:type="character" w:customStyle="1" w:styleId="93">
    <w:name w:val="表格 32 Char"/>
    <w:qFormat/>
    <w:uiPriority w:val="99"/>
    <w:rPr>
      <w:rFonts w:eastAsia="楷体_GB2312"/>
      <w:sz w:val="24"/>
    </w:rPr>
  </w:style>
  <w:style w:type="character" w:customStyle="1" w:styleId="94">
    <w:name w:val="小标题001 Char Char"/>
    <w:link w:val="95"/>
    <w:locked/>
    <w:uiPriority w:val="99"/>
    <w:rPr>
      <w:rFonts w:ascii="宋体" w:hAnsi="宋体" w:eastAsia="宋体"/>
      <w:b/>
      <w:color w:val="000000"/>
      <w:kern w:val="44"/>
      <w:sz w:val="24"/>
      <w:lang w:val="en-US" w:eastAsia="zh-CN"/>
    </w:rPr>
  </w:style>
  <w:style w:type="paragraph" w:customStyle="1" w:styleId="95">
    <w:name w:val="小标题001"/>
    <w:basedOn w:val="1"/>
    <w:link w:val="94"/>
    <w:qFormat/>
    <w:uiPriority w:val="99"/>
    <w:pPr>
      <w:tabs>
        <w:tab w:val="left" w:pos="630"/>
      </w:tabs>
      <w:snapToGrid w:val="0"/>
      <w:spacing w:beforeLines="30" w:afterLines="30" w:line="360" w:lineRule="auto"/>
      <w:ind w:firstLine="482" w:firstLineChars="200"/>
      <w:outlineLvl w:val="0"/>
    </w:pPr>
    <w:rPr>
      <w:rFonts w:ascii="宋体" w:hAnsi="宋体"/>
      <w:b/>
      <w:color w:val="000000"/>
      <w:kern w:val="44"/>
      <w:sz w:val="24"/>
    </w:rPr>
  </w:style>
  <w:style w:type="character" w:customStyle="1" w:styleId="96">
    <w:name w:val="样式5 Char"/>
    <w:link w:val="97"/>
    <w:qFormat/>
    <w:locked/>
    <w:uiPriority w:val="99"/>
    <w:rPr>
      <w:rFonts w:eastAsia="宋体"/>
      <w:kern w:val="2"/>
      <w:sz w:val="24"/>
    </w:rPr>
  </w:style>
  <w:style w:type="paragraph" w:customStyle="1" w:styleId="97">
    <w:name w:val="样式5"/>
    <w:basedOn w:val="1"/>
    <w:link w:val="96"/>
    <w:qFormat/>
    <w:uiPriority w:val="99"/>
    <w:pPr>
      <w:spacing w:line="360" w:lineRule="auto"/>
      <w:ind w:firstLine="480" w:firstLineChars="200"/>
    </w:pPr>
    <w:rPr>
      <w:sz w:val="24"/>
    </w:rPr>
  </w:style>
  <w:style w:type="character" w:customStyle="1" w:styleId="98">
    <w:name w:val="正文1 Char Char"/>
    <w:link w:val="99"/>
    <w:qFormat/>
    <w:locked/>
    <w:uiPriority w:val="99"/>
    <w:rPr>
      <w:rFonts w:eastAsia="楷体_GB2312"/>
      <w:kern w:val="2"/>
      <w:sz w:val="24"/>
      <w:lang w:val="en-US" w:eastAsia="zh-CN"/>
    </w:rPr>
  </w:style>
  <w:style w:type="paragraph" w:customStyle="1" w:styleId="99">
    <w:name w:val="正文1"/>
    <w:basedOn w:val="1"/>
    <w:link w:val="98"/>
    <w:qFormat/>
    <w:uiPriority w:val="99"/>
    <w:pPr>
      <w:adjustRightInd w:val="0"/>
    </w:pPr>
    <w:rPr>
      <w:rFonts w:eastAsia="楷体_GB2312"/>
      <w:sz w:val="20"/>
    </w:rPr>
  </w:style>
  <w:style w:type="character" w:customStyle="1" w:styleId="100">
    <w:name w:val="一级标题 Char Char"/>
    <w:link w:val="101"/>
    <w:qFormat/>
    <w:locked/>
    <w:uiPriority w:val="99"/>
    <w:rPr>
      <w:rFonts w:eastAsia="宋体"/>
      <w:b/>
      <w:kern w:val="44"/>
      <w:sz w:val="32"/>
      <w:lang w:val="en-US" w:eastAsia="zh-CN"/>
    </w:rPr>
  </w:style>
  <w:style w:type="paragraph" w:customStyle="1" w:styleId="101">
    <w:name w:val="一级标题"/>
    <w:basedOn w:val="3"/>
    <w:link w:val="100"/>
    <w:uiPriority w:val="99"/>
    <w:pPr>
      <w:keepLines/>
      <w:tabs>
        <w:tab w:val="left" w:pos="630"/>
      </w:tabs>
      <w:spacing w:afterLines="50"/>
      <w:jc w:val="both"/>
    </w:pPr>
    <w:rPr>
      <w:b/>
      <w:kern w:val="44"/>
      <w:sz w:val="32"/>
    </w:rPr>
  </w:style>
  <w:style w:type="character" w:customStyle="1" w:styleId="102">
    <w:name w:val="报告表小段 Char Char"/>
    <w:link w:val="103"/>
    <w:qFormat/>
    <w:locked/>
    <w:uiPriority w:val="99"/>
    <w:rPr>
      <w:rFonts w:ascii="宋体" w:hAnsi="宋体" w:eastAsia="宋体"/>
      <w:kern w:val="2"/>
      <w:sz w:val="24"/>
      <w:lang w:val="en-US" w:eastAsia="zh-CN"/>
    </w:rPr>
  </w:style>
  <w:style w:type="paragraph" w:customStyle="1" w:styleId="103">
    <w:name w:val="报告表小段"/>
    <w:basedOn w:val="1"/>
    <w:link w:val="102"/>
    <w:qFormat/>
    <w:uiPriority w:val="99"/>
    <w:pPr>
      <w:spacing w:before="120" w:line="360" w:lineRule="auto"/>
      <w:ind w:firstLine="470" w:firstLineChars="196"/>
    </w:pPr>
    <w:rPr>
      <w:rFonts w:ascii="宋体" w:hAnsi="宋体"/>
      <w:bCs/>
      <w:sz w:val="24"/>
    </w:rPr>
  </w:style>
  <w:style w:type="character" w:customStyle="1" w:styleId="104">
    <w:name w:val="样式 报告 + 小四 段前: 0.3 行 段后: 0.3 行 Char Char"/>
    <w:link w:val="105"/>
    <w:locked/>
    <w:uiPriority w:val="99"/>
    <w:rPr>
      <w:rFonts w:eastAsia="宋体"/>
      <w:sz w:val="24"/>
      <w:lang w:val="en-US" w:eastAsia="zh-CN"/>
    </w:rPr>
  </w:style>
  <w:style w:type="paragraph" w:customStyle="1" w:styleId="105">
    <w:name w:val="样式 报告 + 小四 段前: 0.3 行 段后: 0.3 行"/>
    <w:basedOn w:val="89"/>
    <w:link w:val="104"/>
    <w:uiPriority w:val="99"/>
    <w:pPr>
      <w:widowControl w:val="0"/>
      <w:suppressAutoHyphens w:val="0"/>
      <w:topLinePunct w:val="0"/>
      <w:autoSpaceDE w:val="0"/>
      <w:autoSpaceDN w:val="0"/>
      <w:adjustRightInd w:val="0"/>
      <w:spacing w:beforeLines="30" w:afterLines="30" w:line="440" w:lineRule="atLeast"/>
      <w:ind w:firstLine="540" w:firstLineChars="225"/>
    </w:pPr>
    <w:rPr>
      <w:rFonts w:cs="宋体"/>
      <w:bCs w:val="0"/>
      <w:color w:val="auto"/>
      <w:szCs w:val="20"/>
    </w:rPr>
  </w:style>
  <w:style w:type="character" w:customStyle="1" w:styleId="106">
    <w:name w:val="A表名 Char"/>
    <w:uiPriority w:val="99"/>
    <w:rPr>
      <w:rFonts w:ascii="Arial" w:hAnsi="Arial" w:eastAsia="黑体"/>
      <w:b/>
      <w:kern w:val="2"/>
      <w:sz w:val="24"/>
      <w:lang w:val="en-US" w:eastAsia="en-US"/>
    </w:rPr>
  </w:style>
  <w:style w:type="character" w:customStyle="1" w:styleId="107">
    <w:name w:val="正文 32 Char Char"/>
    <w:link w:val="108"/>
    <w:locked/>
    <w:uiPriority w:val="99"/>
    <w:rPr>
      <w:rFonts w:eastAsia="楷体_GB2312"/>
      <w:sz w:val="24"/>
      <w:lang w:val="en-US" w:eastAsia="zh-CN"/>
    </w:rPr>
  </w:style>
  <w:style w:type="paragraph" w:customStyle="1" w:styleId="108">
    <w:name w:val="正文 32"/>
    <w:basedOn w:val="1"/>
    <w:link w:val="107"/>
    <w:uiPriority w:val="0"/>
    <w:pPr>
      <w:autoSpaceDE w:val="0"/>
      <w:autoSpaceDN w:val="0"/>
      <w:adjustRightInd w:val="0"/>
      <w:spacing w:line="300" w:lineRule="auto"/>
      <w:ind w:firstLine="567"/>
      <w:textAlignment w:val="baseline"/>
    </w:pPr>
    <w:rPr>
      <w:rFonts w:eastAsia="楷体_GB2312"/>
      <w:kern w:val="0"/>
      <w:sz w:val="24"/>
      <w:szCs w:val="20"/>
    </w:rPr>
  </w:style>
  <w:style w:type="character" w:customStyle="1" w:styleId="109">
    <w:name w:val="报告表 段 Char Char"/>
    <w:link w:val="110"/>
    <w:locked/>
    <w:uiPriority w:val="99"/>
    <w:rPr>
      <w:rFonts w:ascii="宋体" w:eastAsia="宋体"/>
      <w:kern w:val="2"/>
      <w:sz w:val="24"/>
      <w:lang w:val="en-US" w:eastAsia="zh-CN"/>
    </w:rPr>
  </w:style>
  <w:style w:type="paragraph" w:customStyle="1" w:styleId="110">
    <w:name w:val="报告表 段"/>
    <w:basedOn w:val="1"/>
    <w:link w:val="109"/>
    <w:qFormat/>
    <w:uiPriority w:val="99"/>
    <w:pPr>
      <w:snapToGrid w:val="0"/>
      <w:spacing w:line="360" w:lineRule="auto"/>
      <w:ind w:firstLine="505"/>
    </w:pPr>
    <w:rPr>
      <w:rFonts w:ascii="宋体"/>
      <w:bCs/>
      <w:sz w:val="24"/>
      <w:szCs w:val="20"/>
    </w:rPr>
  </w:style>
  <w:style w:type="character" w:customStyle="1" w:styleId="111">
    <w:name w:val="报告表 小段 Char Char"/>
    <w:link w:val="112"/>
    <w:qFormat/>
    <w:locked/>
    <w:uiPriority w:val="99"/>
    <w:rPr>
      <w:rFonts w:ascii="宋体" w:hAnsi="宋体" w:eastAsia="宋体"/>
      <w:kern w:val="2"/>
      <w:sz w:val="24"/>
      <w:lang w:val="en-US" w:eastAsia="zh-CN"/>
    </w:rPr>
  </w:style>
  <w:style w:type="paragraph" w:customStyle="1" w:styleId="112">
    <w:name w:val="报告表 小段"/>
    <w:basedOn w:val="1"/>
    <w:link w:val="111"/>
    <w:qFormat/>
    <w:uiPriority w:val="99"/>
    <w:pPr>
      <w:spacing w:before="120" w:line="360" w:lineRule="auto"/>
      <w:ind w:firstLine="470" w:firstLineChars="196"/>
    </w:pPr>
    <w:rPr>
      <w:rFonts w:ascii="宋体" w:hAnsi="宋体"/>
      <w:sz w:val="24"/>
      <w:szCs w:val="20"/>
    </w:rPr>
  </w:style>
  <w:style w:type="character" w:customStyle="1" w:styleId="113">
    <w:name w:val="正文（首行缩进两字） Char2"/>
    <w:qFormat/>
    <w:uiPriority w:val="99"/>
    <w:rPr>
      <w:rFonts w:eastAsia="宋体"/>
      <w:kern w:val="2"/>
      <w:sz w:val="21"/>
      <w:lang w:val="en-US" w:eastAsia="zh-CN"/>
    </w:rPr>
  </w:style>
  <w:style w:type="character" w:customStyle="1" w:styleId="114">
    <w:name w:val="四级标题 Char Char"/>
    <w:link w:val="115"/>
    <w:qFormat/>
    <w:locked/>
    <w:uiPriority w:val="99"/>
    <w:rPr>
      <w:rFonts w:ascii="宋体" w:hAnsi="宋体" w:eastAsia="宋体"/>
      <w:b/>
      <w:kern w:val="44"/>
      <w:sz w:val="24"/>
      <w:lang w:val="en-US" w:eastAsia="zh-CN"/>
    </w:rPr>
  </w:style>
  <w:style w:type="paragraph" w:customStyle="1" w:styleId="115">
    <w:name w:val="四级标题"/>
    <w:basedOn w:val="73"/>
    <w:link w:val="114"/>
    <w:qFormat/>
    <w:uiPriority w:val="99"/>
    <w:pPr>
      <w:spacing w:beforeLines="0" w:afterLines="0" w:line="360" w:lineRule="auto"/>
      <w:ind w:firstLine="480"/>
    </w:pPr>
  </w:style>
  <w:style w:type="character" w:customStyle="1" w:styleId="116">
    <w:name w:val="报告表格内中 Char Char"/>
    <w:link w:val="117"/>
    <w:qFormat/>
    <w:locked/>
    <w:uiPriority w:val="99"/>
    <w:rPr>
      <w:rFonts w:eastAsia="宋体"/>
      <w:kern w:val="2"/>
      <w:sz w:val="24"/>
      <w:lang w:val="en-US" w:eastAsia="zh-CN"/>
    </w:rPr>
  </w:style>
  <w:style w:type="paragraph" w:customStyle="1" w:styleId="117">
    <w:name w:val="报告表格内中"/>
    <w:basedOn w:val="1"/>
    <w:link w:val="116"/>
    <w:qFormat/>
    <w:uiPriority w:val="99"/>
    <w:pPr>
      <w:spacing w:before="100" w:beforeAutospacing="1"/>
      <w:jc w:val="center"/>
    </w:pPr>
    <w:rPr>
      <w:sz w:val="24"/>
    </w:rPr>
  </w:style>
  <w:style w:type="character" w:customStyle="1" w:styleId="118">
    <w:name w:val="p141"/>
    <w:qFormat/>
    <w:uiPriority w:val="99"/>
    <w:rPr>
      <w:color w:val="333333"/>
      <w:sz w:val="21"/>
    </w:rPr>
  </w:style>
  <w:style w:type="paragraph" w:customStyle="1" w:styleId="119">
    <w:name w:val="Char Char Char Char Char Char Char Char Char Char1"/>
    <w:basedOn w:val="1"/>
    <w:qFormat/>
    <w:uiPriority w:val="99"/>
    <w:pPr>
      <w:ind w:firstLine="480" w:firstLineChars="200"/>
    </w:pPr>
    <w:rPr>
      <w:rFonts w:ascii="宋体"/>
      <w:sz w:val="28"/>
    </w:rPr>
  </w:style>
  <w:style w:type="paragraph" w:customStyle="1" w:styleId="120">
    <w:name w:val="表内容"/>
    <w:qFormat/>
    <w:uiPriority w:val="99"/>
    <w:pPr>
      <w:widowControl w:val="0"/>
      <w:ind w:left="-84" w:leftChars="-30" w:right="-84" w:rightChars="-30"/>
      <w:jc w:val="center"/>
    </w:pPr>
    <w:rPr>
      <w:rFonts w:ascii="Calibri" w:hAnsi="Calibri" w:eastAsia="宋体" w:cs="Times New Roman"/>
      <w:kern w:val="2"/>
      <w:sz w:val="21"/>
      <w:szCs w:val="21"/>
      <w:lang w:val="en-US" w:eastAsia="zh-CN" w:bidi="ar-SA"/>
    </w:rPr>
  </w:style>
  <w:style w:type="paragraph" w:customStyle="1" w:styleId="121">
    <w:name w:val="正文 New New New New New New New New New New New New New"/>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22">
    <w:name w:val="表文"/>
    <w:basedOn w:val="1"/>
    <w:qFormat/>
    <w:uiPriority w:val="99"/>
    <w:pPr>
      <w:autoSpaceDE w:val="0"/>
      <w:autoSpaceDN w:val="0"/>
      <w:adjustRightInd w:val="0"/>
      <w:spacing w:line="360" w:lineRule="atLeast"/>
      <w:jc w:val="center"/>
      <w:textAlignment w:val="baseline"/>
    </w:pPr>
    <w:rPr>
      <w:rFonts w:ascii="宋体" w:hAnsi="Tms Rmn"/>
      <w:kern w:val="0"/>
      <w:sz w:val="24"/>
      <w:szCs w:val="20"/>
    </w:rPr>
  </w:style>
  <w:style w:type="paragraph" w:customStyle="1" w:styleId="123">
    <w:name w:val="表头"/>
    <w:basedOn w:val="9"/>
    <w:next w:val="1"/>
    <w:qFormat/>
    <w:uiPriority w:val="99"/>
    <w:pPr>
      <w:keepNext/>
      <w:autoSpaceDE w:val="0"/>
      <w:autoSpaceDN w:val="0"/>
      <w:adjustRightInd w:val="0"/>
      <w:spacing w:before="240" w:line="360" w:lineRule="auto"/>
      <w:ind w:left="0" w:leftChars="0" w:firstLine="0" w:firstLineChars="0"/>
      <w:jc w:val="center"/>
      <w:textAlignment w:val="baseline"/>
    </w:pPr>
    <w:rPr>
      <w:rFonts w:eastAsia="楷体_GB2312"/>
      <w:kern w:val="0"/>
      <w:sz w:val="28"/>
      <w:szCs w:val="28"/>
    </w:rPr>
  </w:style>
  <w:style w:type="paragraph" w:customStyle="1" w:styleId="124">
    <w:name w:val="Char2"/>
    <w:basedOn w:val="1"/>
    <w:qFormat/>
    <w:uiPriority w:val="99"/>
    <w:pPr>
      <w:widowControl/>
      <w:spacing w:after="160" w:line="240" w:lineRule="exact"/>
      <w:jc w:val="left"/>
    </w:pPr>
    <w:rPr>
      <w:rFonts w:ascii="Verdana" w:hAnsi="Verdana" w:eastAsia="仿宋_GB2312"/>
      <w:kern w:val="0"/>
      <w:sz w:val="24"/>
      <w:szCs w:val="20"/>
      <w:lang w:eastAsia="en-US"/>
    </w:rPr>
  </w:style>
  <w:style w:type="paragraph" w:customStyle="1" w:styleId="125">
    <w:name w:val="Char Char2"/>
    <w:basedOn w:val="1"/>
    <w:qFormat/>
    <w:uiPriority w:val="99"/>
    <w:pPr>
      <w:ind w:firstLine="480" w:firstLineChars="200"/>
    </w:pPr>
    <w:rPr>
      <w:rFonts w:ascii="宋体"/>
      <w:sz w:val="28"/>
    </w:rPr>
  </w:style>
  <w:style w:type="paragraph" w:customStyle="1" w:styleId="126">
    <w:name w:val="标题2"/>
    <w:basedOn w:val="1"/>
    <w:qFormat/>
    <w:uiPriority w:val="99"/>
    <w:pPr>
      <w:tabs>
        <w:tab w:val="left" w:pos="3224"/>
      </w:tabs>
      <w:spacing w:line="360" w:lineRule="auto"/>
      <w:ind w:firstLine="480"/>
    </w:pPr>
    <w:rPr>
      <w:rFonts w:ascii="宋体"/>
      <w:b/>
      <w:bCs/>
      <w:color w:val="FF6600"/>
      <w:sz w:val="24"/>
      <w:szCs w:val="20"/>
    </w:rPr>
  </w:style>
  <w:style w:type="paragraph" w:customStyle="1" w:styleId="127">
    <w:name w:val="页脚 New New New New New New New New New"/>
    <w:basedOn w:val="1"/>
    <w:qFormat/>
    <w:uiPriority w:val="99"/>
    <w:pPr>
      <w:widowControl/>
      <w:tabs>
        <w:tab w:val="center" w:pos="4153"/>
        <w:tab w:val="right" w:pos="8306"/>
      </w:tabs>
      <w:snapToGrid w:val="0"/>
      <w:jc w:val="left"/>
    </w:pPr>
    <w:rPr>
      <w:sz w:val="18"/>
    </w:rPr>
  </w:style>
  <w:style w:type="paragraph" w:customStyle="1" w:styleId="128">
    <w:name w:val="默认段落字体 Para Char"/>
    <w:basedOn w:val="1"/>
    <w:qFormat/>
    <w:uiPriority w:val="99"/>
    <w:rPr>
      <w:rFonts w:ascii="宋体"/>
      <w:sz w:val="28"/>
    </w:rPr>
  </w:style>
  <w:style w:type="paragraph" w:customStyle="1" w:styleId="129">
    <w:name w:val="页脚 New New New New New New"/>
    <w:basedOn w:val="1"/>
    <w:qFormat/>
    <w:uiPriority w:val="99"/>
    <w:pPr>
      <w:widowControl/>
      <w:tabs>
        <w:tab w:val="center" w:pos="4153"/>
        <w:tab w:val="right" w:pos="8306"/>
      </w:tabs>
      <w:snapToGrid w:val="0"/>
      <w:jc w:val="left"/>
    </w:pPr>
    <w:rPr>
      <w:sz w:val="18"/>
    </w:rPr>
  </w:style>
  <w:style w:type="paragraph" w:customStyle="1" w:styleId="130">
    <w:name w:val="表名图名"/>
    <w:basedOn w:val="131"/>
    <w:qFormat/>
    <w:uiPriority w:val="99"/>
    <w:pPr>
      <w:spacing w:beforeLines="0" w:afterLines="0" w:line="320" w:lineRule="exact"/>
      <w:ind w:firstLine="0"/>
    </w:pPr>
    <w:rPr>
      <w:rFonts w:hAnsi="宋体" w:eastAsia="宋体"/>
      <w:b/>
      <w:bCs/>
      <w:color w:val="000000"/>
    </w:rPr>
  </w:style>
  <w:style w:type="paragraph" w:customStyle="1" w:styleId="131">
    <w:name w:val="表名"/>
    <w:basedOn w:val="1"/>
    <w:qFormat/>
    <w:uiPriority w:val="99"/>
    <w:pPr>
      <w:adjustRightInd w:val="0"/>
      <w:spacing w:beforeLines="30" w:afterLines="30" w:line="400" w:lineRule="atLeast"/>
      <w:ind w:firstLine="425"/>
      <w:jc w:val="center"/>
      <w:textAlignment w:val="baseline"/>
    </w:pPr>
    <w:rPr>
      <w:rFonts w:eastAsia="黑体"/>
      <w:kern w:val="0"/>
      <w:sz w:val="24"/>
      <w:szCs w:val="20"/>
    </w:rPr>
  </w:style>
  <w:style w:type="paragraph" w:customStyle="1" w:styleId="132">
    <w:name w:val="zxz5"/>
    <w:next w:val="1"/>
    <w:qFormat/>
    <w:uiPriority w:val="99"/>
    <w:pPr>
      <w:tabs>
        <w:tab w:val="left" w:pos="0"/>
      </w:tabs>
      <w:jc w:val="center"/>
    </w:pPr>
    <w:rPr>
      <w:rFonts w:ascii="宋体" w:hAnsi="Times New Roman" w:eastAsia="宋体" w:cs="宋体"/>
      <w:bCs/>
      <w:kern w:val="2"/>
      <w:sz w:val="18"/>
      <w:szCs w:val="18"/>
      <w:lang w:val="en-US" w:eastAsia="zh-CN" w:bidi="ar-SA"/>
    </w:rPr>
  </w:style>
  <w:style w:type="paragraph" w:customStyle="1" w:styleId="133">
    <w:name w:val="样式 (中文) 仿宋_GB2312 四号 黑色 行距: 1.5 倍行距"/>
    <w:basedOn w:val="1"/>
    <w:qFormat/>
    <w:uiPriority w:val="99"/>
    <w:pPr>
      <w:spacing w:line="360" w:lineRule="auto"/>
      <w:ind w:firstLine="200" w:firstLineChars="200"/>
    </w:pPr>
    <w:rPr>
      <w:rFonts w:eastAsia="仿宋_GB2312"/>
      <w:color w:val="000000"/>
      <w:sz w:val="24"/>
      <w:szCs w:val="20"/>
    </w:rPr>
  </w:style>
  <w:style w:type="paragraph" w:customStyle="1" w:styleId="134">
    <w:name w:val="页脚 New New New New New New New New"/>
    <w:basedOn w:val="1"/>
    <w:qFormat/>
    <w:uiPriority w:val="99"/>
    <w:pPr>
      <w:widowControl/>
      <w:tabs>
        <w:tab w:val="center" w:pos="4153"/>
        <w:tab w:val="right" w:pos="8306"/>
      </w:tabs>
      <w:snapToGrid w:val="0"/>
      <w:jc w:val="left"/>
    </w:pPr>
    <w:rPr>
      <w:sz w:val="18"/>
    </w:rPr>
  </w:style>
  <w:style w:type="paragraph" w:customStyle="1" w:styleId="135">
    <w:name w:val="普通文字"/>
    <w:basedOn w:val="1"/>
    <w:next w:val="1"/>
    <w:qFormat/>
    <w:uiPriority w:val="99"/>
    <w:pPr>
      <w:autoSpaceDE w:val="0"/>
      <w:autoSpaceDN w:val="0"/>
      <w:adjustRightInd w:val="0"/>
      <w:jc w:val="left"/>
    </w:pPr>
    <w:rPr>
      <w:rFonts w:ascii="宋体" w:cs="宋体"/>
      <w:kern w:val="0"/>
      <w:sz w:val="24"/>
    </w:rPr>
  </w:style>
  <w:style w:type="paragraph" w:customStyle="1" w:styleId="136">
    <w:name w:val="font10"/>
    <w:basedOn w:val="1"/>
    <w:qFormat/>
    <w:uiPriority w:val="99"/>
    <w:pPr>
      <w:widowControl/>
      <w:spacing w:before="100" w:beforeAutospacing="1" w:after="100" w:afterAutospacing="1"/>
      <w:jc w:val="left"/>
    </w:pPr>
    <w:rPr>
      <w:b/>
      <w:kern w:val="0"/>
      <w:sz w:val="28"/>
      <w:szCs w:val="20"/>
      <w:u w:val="single"/>
    </w:rPr>
  </w:style>
  <w:style w:type="paragraph" w:customStyle="1" w:styleId="137">
    <w:name w:val="公式"/>
    <w:basedOn w:val="1"/>
    <w:uiPriority w:val="99"/>
    <w:pPr>
      <w:adjustRightInd w:val="0"/>
      <w:spacing w:before="60" w:line="394" w:lineRule="atLeast"/>
      <w:jc w:val="center"/>
      <w:textAlignment w:val="baseline"/>
    </w:pPr>
    <w:rPr>
      <w:rFonts w:ascii="宋体"/>
      <w:kern w:val="0"/>
      <w:sz w:val="24"/>
      <w:szCs w:val="20"/>
    </w:rPr>
  </w:style>
  <w:style w:type="paragraph" w:customStyle="1" w:styleId="138">
    <w:name w:val="样式 四号 黑色 行距: 1.5 倍行距 首行缩进:  2 字符"/>
    <w:basedOn w:val="1"/>
    <w:uiPriority w:val="99"/>
    <w:pPr>
      <w:spacing w:line="360" w:lineRule="auto"/>
      <w:ind w:firstLine="560" w:firstLineChars="200"/>
    </w:pPr>
    <w:rPr>
      <w:rFonts w:eastAsia="仿宋_GB2312" w:cs="宋体"/>
      <w:color w:val="000000"/>
      <w:sz w:val="28"/>
      <w:szCs w:val="20"/>
    </w:rPr>
  </w:style>
  <w:style w:type="paragraph" w:customStyle="1" w:styleId="139">
    <w:name w:val="样式 首行缩进:  0.99 厘米 行距: 1.5 倍行距2"/>
    <w:basedOn w:val="1"/>
    <w:uiPriority w:val="99"/>
    <w:pPr>
      <w:adjustRightInd w:val="0"/>
      <w:snapToGrid w:val="0"/>
      <w:jc w:val="center"/>
    </w:pPr>
    <w:rPr>
      <w:b/>
      <w:szCs w:val="21"/>
    </w:rPr>
  </w:style>
  <w:style w:type="paragraph" w:customStyle="1" w:styleId="140">
    <w:name w:val="a1"/>
    <w:basedOn w:val="1"/>
    <w:uiPriority w:val="99"/>
    <w:pPr>
      <w:widowControl/>
      <w:spacing w:before="100" w:beforeAutospacing="1" w:after="100" w:afterAutospacing="1"/>
      <w:jc w:val="left"/>
    </w:pPr>
    <w:rPr>
      <w:rFonts w:ascii="宋体" w:hAnsi="宋体"/>
      <w:kern w:val="0"/>
      <w:sz w:val="24"/>
    </w:rPr>
  </w:style>
  <w:style w:type="paragraph" w:customStyle="1" w:styleId="141">
    <w:name w:val="表格 21"/>
    <w:uiPriority w:val="99"/>
    <w:pPr>
      <w:widowControl w:val="0"/>
      <w:autoSpaceDE w:val="0"/>
      <w:autoSpaceDN w:val="0"/>
      <w:adjustRightInd w:val="0"/>
      <w:jc w:val="center"/>
      <w:textAlignment w:val="baseline"/>
    </w:pPr>
    <w:rPr>
      <w:rFonts w:ascii="Times New Roman" w:hAnsi="Times New Roman" w:eastAsia="仿宋体" w:cs="Times New Roman"/>
      <w:sz w:val="28"/>
      <w:lang w:val="en-US" w:eastAsia="zh-CN" w:bidi="ar-SA"/>
    </w:rPr>
  </w:style>
  <w:style w:type="paragraph" w:customStyle="1" w:styleId="142">
    <w:name w:val="Char Char Char"/>
    <w:basedOn w:val="1"/>
    <w:uiPriority w:val="99"/>
  </w:style>
  <w:style w:type="paragraph" w:customStyle="1" w:styleId="143">
    <w:name w:val="页脚 New New New"/>
    <w:basedOn w:val="1"/>
    <w:uiPriority w:val="99"/>
    <w:pPr>
      <w:widowControl/>
      <w:tabs>
        <w:tab w:val="center" w:pos="4153"/>
        <w:tab w:val="right" w:pos="8306"/>
      </w:tabs>
      <w:snapToGrid w:val="0"/>
      <w:jc w:val="left"/>
    </w:pPr>
    <w:rPr>
      <w:sz w:val="18"/>
    </w:rPr>
  </w:style>
  <w:style w:type="paragraph" w:customStyle="1" w:styleId="144">
    <w:name w:val="页脚 New New New New New New New"/>
    <w:basedOn w:val="1"/>
    <w:uiPriority w:val="99"/>
    <w:pPr>
      <w:widowControl/>
      <w:tabs>
        <w:tab w:val="center" w:pos="4153"/>
        <w:tab w:val="right" w:pos="8306"/>
      </w:tabs>
      <w:snapToGrid w:val="0"/>
      <w:jc w:val="left"/>
    </w:pPr>
    <w:rPr>
      <w:sz w:val="18"/>
    </w:rPr>
  </w:style>
  <w:style w:type="paragraph" w:customStyle="1" w:styleId="145">
    <w:name w:val="用户正文1"/>
    <w:uiPriority w:val="99"/>
    <w:pPr>
      <w:widowControl w:val="0"/>
      <w:snapToGrid w:val="0"/>
      <w:spacing w:line="240" w:lineRule="atLeast"/>
      <w:jc w:val="both"/>
    </w:pPr>
    <w:rPr>
      <w:rFonts w:ascii="Times New Roman" w:hAnsi="宋体" w:eastAsia="宋体" w:cs="Times New Roman"/>
      <w:kern w:val="2"/>
      <w:sz w:val="24"/>
      <w:szCs w:val="21"/>
      <w:lang w:val="en-US" w:eastAsia="zh-CN" w:bidi="ar-SA"/>
    </w:rPr>
  </w:style>
  <w:style w:type="paragraph" w:customStyle="1" w:styleId="146">
    <w:name w:val="Char Char Char Char"/>
    <w:basedOn w:val="1"/>
    <w:uiPriority w:val="99"/>
    <w:rPr>
      <w:sz w:val="24"/>
    </w:rPr>
  </w:style>
  <w:style w:type="paragraph" w:customStyle="1" w:styleId="147">
    <w:name w:val="无间隔1"/>
    <w:link w:val="197"/>
    <w:uiPriority w:val="99"/>
    <w:pPr>
      <w:widowControl w:val="0"/>
      <w:jc w:val="center"/>
      <w:outlineLvl w:val="7"/>
    </w:pPr>
    <w:rPr>
      <w:rFonts w:ascii="Times New Roman" w:hAnsi="Times New Roman" w:eastAsia="宋体" w:cs="Times New Roman"/>
      <w:kern w:val="2"/>
      <w:sz w:val="21"/>
      <w:szCs w:val="24"/>
      <w:lang w:val="en-US" w:eastAsia="zh-CN" w:bidi="ar-SA"/>
    </w:rPr>
  </w:style>
  <w:style w:type="paragraph" w:customStyle="1" w:styleId="148">
    <w:name w:val="样式 方正仿宋_GBK 三号 加粗 黑色 居中 行距: 固定值 26 磅"/>
    <w:basedOn w:val="1"/>
    <w:uiPriority w:val="99"/>
    <w:pPr>
      <w:adjustRightInd w:val="0"/>
      <w:snapToGrid w:val="0"/>
      <w:spacing w:line="360" w:lineRule="auto"/>
    </w:pPr>
    <w:rPr>
      <w:bCs/>
      <w:sz w:val="24"/>
    </w:rPr>
  </w:style>
  <w:style w:type="paragraph" w:customStyle="1" w:styleId="149">
    <w:name w:val="默认段落字体 Para Char Char Char Char Char Char Char"/>
    <w:basedOn w:val="1"/>
    <w:uiPriority w:val="99"/>
    <w:rPr>
      <w:szCs w:val="20"/>
    </w:rPr>
  </w:style>
  <w:style w:type="paragraph" w:customStyle="1" w:styleId="150">
    <w:name w:val="Char Char Char Char Char Char Char Char Char1"/>
    <w:basedOn w:val="1"/>
    <w:uiPriority w:val="99"/>
    <w:pPr>
      <w:snapToGrid w:val="0"/>
      <w:spacing w:line="360" w:lineRule="auto"/>
      <w:ind w:firstLine="529" w:firstLineChars="200"/>
    </w:pPr>
    <w:rPr>
      <w:rFonts w:ascii="宋体" w:hAnsi="宋体"/>
      <w:b/>
    </w:rPr>
  </w:style>
  <w:style w:type="paragraph" w:customStyle="1" w:styleId="151">
    <w:name w:val="报告表正文"/>
    <w:basedOn w:val="1"/>
    <w:uiPriority w:val="99"/>
    <w:pPr>
      <w:adjustRightInd w:val="0"/>
      <w:spacing w:line="312" w:lineRule="auto"/>
      <w:ind w:left="113" w:right="113" w:firstLine="482"/>
      <w:jc w:val="left"/>
      <w:textAlignment w:val="baseline"/>
    </w:pPr>
    <w:rPr>
      <w:kern w:val="0"/>
      <w:sz w:val="24"/>
      <w:szCs w:val="20"/>
    </w:rPr>
  </w:style>
  <w:style w:type="paragraph" w:customStyle="1" w:styleId="152">
    <w:name w:val="报告表格"/>
    <w:basedOn w:val="1"/>
    <w:uiPriority w:val="99"/>
    <w:pPr>
      <w:autoSpaceDE w:val="0"/>
      <w:autoSpaceDN w:val="0"/>
      <w:adjustRightInd w:val="0"/>
      <w:spacing w:before="40" w:after="40"/>
      <w:jc w:val="center"/>
      <w:textAlignment w:val="baseline"/>
    </w:pPr>
    <w:rPr>
      <w:kern w:val="0"/>
      <w:szCs w:val="20"/>
    </w:rPr>
  </w:style>
  <w:style w:type="paragraph" w:customStyle="1" w:styleId="153">
    <w:name w:val="样式2"/>
    <w:basedOn w:val="1"/>
    <w:uiPriority w:val="99"/>
    <w:pPr>
      <w:spacing w:line="300" w:lineRule="exact"/>
      <w:jc w:val="center"/>
    </w:pPr>
    <w:rPr>
      <w:rFonts w:ascii="宋体" w:hAnsi="宋体"/>
      <w:spacing w:val="4"/>
      <w:szCs w:val="20"/>
    </w:rPr>
  </w:style>
  <w:style w:type="paragraph" w:customStyle="1" w:styleId="154">
    <w:name w:val="表格正文 Char"/>
    <w:basedOn w:val="1"/>
    <w:next w:val="1"/>
    <w:uiPriority w:val="99"/>
    <w:pPr>
      <w:adjustRightInd w:val="0"/>
      <w:snapToGrid w:val="0"/>
      <w:jc w:val="center"/>
      <w:textAlignment w:val="baseline"/>
    </w:pPr>
    <w:rPr>
      <w:rFonts w:ascii="宋体"/>
      <w:spacing w:val="4"/>
      <w:w w:val="90"/>
      <w:kern w:val="0"/>
      <w:sz w:val="24"/>
    </w:rPr>
  </w:style>
  <w:style w:type="paragraph" w:customStyle="1" w:styleId="155">
    <w:name w:val="p0"/>
    <w:basedOn w:val="1"/>
    <w:uiPriority w:val="99"/>
    <w:pPr>
      <w:widowControl/>
    </w:pPr>
    <w:rPr>
      <w:kern w:val="0"/>
      <w:szCs w:val="21"/>
    </w:rPr>
  </w:style>
  <w:style w:type="paragraph" w:customStyle="1" w:styleId="156">
    <w:name w:val="页脚 New New New New"/>
    <w:basedOn w:val="1"/>
    <w:uiPriority w:val="99"/>
    <w:pPr>
      <w:widowControl/>
      <w:tabs>
        <w:tab w:val="center" w:pos="4153"/>
        <w:tab w:val="right" w:pos="8306"/>
      </w:tabs>
      <w:snapToGrid w:val="0"/>
      <w:jc w:val="left"/>
    </w:pPr>
    <w:rPr>
      <w:sz w:val="18"/>
    </w:rPr>
  </w:style>
  <w:style w:type="paragraph" w:customStyle="1" w:styleId="157">
    <w:name w:val="Char Char Char Char Char Char"/>
    <w:basedOn w:val="1"/>
    <w:uiPriority w:val="99"/>
    <w:rPr>
      <w:sz w:val="24"/>
    </w:rPr>
  </w:style>
  <w:style w:type="paragraph" w:customStyle="1" w:styleId="158">
    <w:name w:val="表格文字001"/>
    <w:basedOn w:val="1"/>
    <w:uiPriority w:val="99"/>
    <w:pPr>
      <w:snapToGrid w:val="0"/>
      <w:spacing w:beforeLines="20" w:afterLines="20"/>
      <w:jc w:val="center"/>
    </w:pPr>
    <w:rPr>
      <w:rFonts w:ascii="宋体" w:hAnsi="宋体"/>
      <w:szCs w:val="21"/>
    </w:rPr>
  </w:style>
  <w:style w:type="paragraph" w:customStyle="1" w:styleId="159">
    <w:name w:val="页脚 New New"/>
    <w:basedOn w:val="1"/>
    <w:uiPriority w:val="99"/>
    <w:pPr>
      <w:widowControl/>
      <w:tabs>
        <w:tab w:val="center" w:pos="4153"/>
        <w:tab w:val="right" w:pos="8306"/>
      </w:tabs>
      <w:snapToGrid w:val="0"/>
      <w:jc w:val="left"/>
    </w:pPr>
    <w:rPr>
      <w:sz w:val="18"/>
    </w:rPr>
  </w:style>
  <w:style w:type="paragraph" w:customStyle="1" w:styleId="160">
    <w:name w:val="小标题"/>
    <w:basedOn w:val="1"/>
    <w:uiPriority w:val="99"/>
    <w:pPr>
      <w:adjustRightInd w:val="0"/>
      <w:spacing w:beforeLines="50" w:after="48"/>
      <w:ind w:firstLine="480" w:firstLineChars="200"/>
      <w:textAlignment w:val="baseline"/>
    </w:pPr>
    <w:rPr>
      <w:rFonts w:ascii="宋体"/>
      <w:b/>
      <w:bCs/>
      <w:color w:val="000000"/>
      <w:kern w:val="0"/>
      <w:sz w:val="24"/>
      <w:szCs w:val="20"/>
      <w:u w:val="single"/>
    </w:rPr>
  </w:style>
  <w:style w:type="paragraph" w:customStyle="1" w:styleId="161">
    <w:name w:val="中文报告书样式"/>
    <w:basedOn w:val="1"/>
    <w:uiPriority w:val="99"/>
    <w:pPr>
      <w:adjustRightInd w:val="0"/>
      <w:spacing w:line="480" w:lineRule="atLeast"/>
      <w:ind w:firstLine="482"/>
      <w:textAlignment w:val="baseline"/>
    </w:pPr>
    <w:rPr>
      <w:kern w:val="24"/>
      <w:sz w:val="24"/>
      <w:szCs w:val="20"/>
    </w:rPr>
  </w:style>
  <w:style w:type="paragraph" w:customStyle="1" w:styleId="162">
    <w:name w:val="报告正文"/>
    <w:basedOn w:val="1"/>
    <w:link w:val="233"/>
    <w:qFormat/>
    <w:uiPriority w:val="1"/>
    <w:pPr>
      <w:spacing w:line="360" w:lineRule="auto"/>
      <w:ind w:firstLine="480" w:firstLineChars="200"/>
    </w:pPr>
    <w:rPr>
      <w:bCs/>
      <w:color w:val="000000"/>
      <w:kern w:val="0"/>
      <w:sz w:val="24"/>
      <w:szCs w:val="20"/>
    </w:rPr>
  </w:style>
  <w:style w:type="paragraph" w:customStyle="1" w:styleId="163">
    <w:name w:val="Char2 Char Char Char Char Char Char"/>
    <w:basedOn w:val="1"/>
    <w:uiPriority w:val="99"/>
    <w:rPr>
      <w:sz w:val="24"/>
    </w:rPr>
  </w:style>
  <w:style w:type="paragraph" w:customStyle="1" w:styleId="164">
    <w:name w:val="报告表小标题"/>
    <w:basedOn w:val="1"/>
    <w:uiPriority w:val="99"/>
    <w:pPr>
      <w:snapToGrid w:val="0"/>
      <w:spacing w:before="100" w:beforeAutospacing="1" w:line="360" w:lineRule="auto"/>
    </w:pPr>
    <w:rPr>
      <w:rFonts w:ascii="宋体"/>
      <w:b/>
      <w:color w:val="000000"/>
      <w:sz w:val="24"/>
      <w:szCs w:val="20"/>
    </w:rPr>
  </w:style>
  <w:style w:type="paragraph" w:customStyle="1" w:styleId="165">
    <w:name w:val="Char Char Char Char Char Char Char Char Char Char"/>
    <w:basedOn w:val="1"/>
    <w:uiPriority w:val="99"/>
    <w:pPr>
      <w:ind w:firstLine="480" w:firstLineChars="200"/>
    </w:pPr>
    <w:rPr>
      <w:rFonts w:ascii="宋体"/>
      <w:sz w:val="28"/>
    </w:rPr>
  </w:style>
  <w:style w:type="paragraph" w:customStyle="1" w:styleId="166">
    <w:name w:val="缩进"/>
    <w:basedOn w:val="1"/>
    <w:uiPriority w:val="99"/>
    <w:pPr>
      <w:autoSpaceDE w:val="0"/>
      <w:autoSpaceDN w:val="0"/>
      <w:adjustRightInd w:val="0"/>
      <w:spacing w:line="400" w:lineRule="atLeast"/>
      <w:ind w:firstLine="480" w:firstLineChars="200"/>
      <w:textAlignment w:val="baseline"/>
    </w:pPr>
    <w:rPr>
      <w:sz w:val="24"/>
      <w:szCs w:val="20"/>
    </w:rPr>
  </w:style>
  <w:style w:type="paragraph" w:customStyle="1" w:styleId="167">
    <w:name w:val="标题3"/>
    <w:basedOn w:val="1"/>
    <w:uiPriority w:val="99"/>
    <w:rPr>
      <w:rFonts w:ascii="仿宋_GB2312" w:eastAsia="仿宋_GB2312"/>
      <w:sz w:val="28"/>
      <w:szCs w:val="28"/>
    </w:rPr>
  </w:style>
  <w:style w:type="paragraph" w:customStyle="1" w:styleId="168">
    <w:name w:val="正文文本 21"/>
    <w:basedOn w:val="1"/>
    <w:uiPriority w:val="99"/>
    <w:pPr>
      <w:adjustRightInd w:val="0"/>
      <w:jc w:val="center"/>
      <w:textAlignment w:val="baseline"/>
    </w:pPr>
    <w:rPr>
      <w:rFonts w:ascii="宋体" w:hAnsi="宋体"/>
      <w:sz w:val="24"/>
    </w:rPr>
  </w:style>
  <w:style w:type="paragraph" w:customStyle="1" w:styleId="169">
    <w:name w:val="4 Char"/>
    <w:basedOn w:val="1"/>
    <w:uiPriority w:val="99"/>
  </w:style>
  <w:style w:type="paragraph" w:customStyle="1" w:styleId="170">
    <w:name w:val="环正文"/>
    <w:basedOn w:val="1"/>
    <w:uiPriority w:val="99"/>
    <w:pPr>
      <w:widowControl/>
      <w:suppressAutoHyphens/>
      <w:adjustRightInd w:val="0"/>
      <w:spacing w:beforeLines="30" w:line="360" w:lineRule="auto"/>
      <w:ind w:firstLine="480" w:firstLineChars="200"/>
      <w:textAlignment w:val="baseline"/>
    </w:pPr>
    <w:rPr>
      <w:rFonts w:ascii="宋体" w:hAnsi="宋体"/>
      <w:kern w:val="0"/>
      <w:sz w:val="24"/>
      <w:szCs w:val="20"/>
    </w:rPr>
  </w:style>
  <w:style w:type="paragraph" w:customStyle="1" w:styleId="171">
    <w:name w:val="Char Char Char Char Char Char Char Char Char Char Char Char Char Char Char Char Char Char Char"/>
    <w:basedOn w:val="1"/>
    <w:qFormat/>
    <w:uiPriority w:val="99"/>
    <w:pPr>
      <w:widowControl/>
      <w:spacing w:beforeLines="50" w:afterLines="50" w:line="360" w:lineRule="auto"/>
      <w:ind w:firstLine="200" w:firstLineChars="200"/>
      <w:jc w:val="left"/>
    </w:pPr>
    <w:rPr>
      <w:rFonts w:ascii="Verdana" w:hAnsi="Verdana"/>
      <w:kern w:val="0"/>
      <w:sz w:val="24"/>
      <w:szCs w:val="20"/>
      <w:lang w:eastAsia="en-US"/>
    </w:rPr>
  </w:style>
  <w:style w:type="paragraph" w:customStyle="1" w:styleId="172">
    <w:name w:val="Char3 Char Char Char Char Char Char"/>
    <w:basedOn w:val="1"/>
    <w:uiPriority w:val="99"/>
    <w:rPr>
      <w:szCs w:val="20"/>
    </w:rPr>
  </w:style>
  <w:style w:type="paragraph" w:customStyle="1" w:styleId="173">
    <w:name w:val="页面 7"/>
    <w:basedOn w:val="1"/>
    <w:uiPriority w:val="99"/>
    <w:pPr>
      <w:autoSpaceDE w:val="0"/>
      <w:autoSpaceDN w:val="0"/>
      <w:adjustRightInd w:val="0"/>
      <w:spacing w:before="120" w:after="120"/>
      <w:jc w:val="center"/>
      <w:textAlignment w:val="baseline"/>
    </w:pPr>
    <w:rPr>
      <w:rFonts w:ascii="宋体" w:hAnsi="Impact"/>
      <w:kern w:val="24"/>
      <w:sz w:val="32"/>
      <w:szCs w:val="20"/>
    </w:rPr>
  </w:style>
  <w:style w:type="paragraph" w:customStyle="1" w:styleId="174">
    <w:name w:val="Char Char1 Char Char Char Char"/>
    <w:basedOn w:val="1"/>
    <w:uiPriority w:val="99"/>
    <w:rPr>
      <w:rFonts w:eastAsia="仿宋_GB2312"/>
      <w:b/>
      <w:sz w:val="24"/>
    </w:rPr>
  </w:style>
  <w:style w:type="paragraph" w:customStyle="1" w:styleId="175">
    <w:name w:val="报告表"/>
    <w:basedOn w:val="1"/>
    <w:uiPriority w:val="99"/>
    <w:pPr>
      <w:adjustRightInd w:val="0"/>
      <w:snapToGrid w:val="0"/>
      <w:spacing w:line="520" w:lineRule="atLeast"/>
      <w:ind w:firstLine="560" w:firstLineChars="200"/>
    </w:pPr>
    <w:rPr>
      <w:rFonts w:eastAsia="仿宋_GB2312"/>
      <w:sz w:val="28"/>
    </w:rPr>
  </w:style>
  <w:style w:type="paragraph" w:customStyle="1" w:styleId="176">
    <w:name w:val="Char1"/>
    <w:basedOn w:val="1"/>
    <w:uiPriority w:val="99"/>
    <w:rPr>
      <w:rFonts w:ascii="Tahoma" w:hAnsi="Tahoma"/>
      <w:sz w:val="24"/>
      <w:szCs w:val="20"/>
    </w:rPr>
  </w:style>
  <w:style w:type="paragraph" w:customStyle="1" w:styleId="177">
    <w:name w:val="新表项"/>
    <w:basedOn w:val="1"/>
    <w:uiPriority w:val="99"/>
    <w:pPr>
      <w:adjustRightInd w:val="0"/>
      <w:spacing w:before="60" w:line="336" w:lineRule="auto"/>
      <w:ind w:firstLine="505"/>
      <w:textAlignment w:val="baseline"/>
    </w:pPr>
    <w:rPr>
      <w:rFonts w:ascii="宋体"/>
      <w:kern w:val="0"/>
      <w:sz w:val="24"/>
    </w:rPr>
  </w:style>
  <w:style w:type="paragraph" w:customStyle="1" w:styleId="178">
    <w:name w:val="text"/>
    <w:basedOn w:val="1"/>
    <w:uiPriority w:val="99"/>
    <w:pPr>
      <w:widowControl/>
      <w:spacing w:line="288" w:lineRule="auto"/>
      <w:jc w:val="left"/>
    </w:pPr>
    <w:rPr>
      <w:rFonts w:ascii="宋体" w:hAnsi="宋体"/>
      <w:color w:val="000000"/>
      <w:kern w:val="0"/>
      <w:sz w:val="24"/>
    </w:rPr>
  </w:style>
  <w:style w:type="paragraph" w:customStyle="1" w:styleId="179">
    <w:name w:val="bOK(表内容)"/>
    <w:basedOn w:val="1"/>
    <w:uiPriority w:val="99"/>
    <w:pPr>
      <w:adjustRightInd w:val="0"/>
      <w:spacing w:line="360" w:lineRule="atLeast"/>
      <w:jc w:val="left"/>
      <w:textAlignment w:val="baseline"/>
    </w:pPr>
    <w:rPr>
      <w:rFonts w:ascii="Arial" w:hAnsi="Arial"/>
      <w:kern w:val="0"/>
      <w:szCs w:val="20"/>
    </w:rPr>
  </w:style>
  <w:style w:type="paragraph" w:customStyle="1" w:styleId="180">
    <w:name w:val="页脚 New"/>
    <w:basedOn w:val="1"/>
    <w:uiPriority w:val="99"/>
    <w:pPr>
      <w:widowControl/>
      <w:tabs>
        <w:tab w:val="center" w:pos="4153"/>
        <w:tab w:val="right" w:pos="8306"/>
      </w:tabs>
      <w:snapToGrid w:val="0"/>
      <w:jc w:val="left"/>
    </w:pPr>
    <w:rPr>
      <w:sz w:val="18"/>
    </w:rPr>
  </w:style>
  <w:style w:type="paragraph" w:customStyle="1" w:styleId="181">
    <w:name w:val="样式 方正仿宋_GBK 三号 行距: 固定值 28 磅"/>
    <w:basedOn w:val="1"/>
    <w:uiPriority w:val="99"/>
    <w:pPr>
      <w:spacing w:line="360" w:lineRule="auto"/>
      <w:ind w:firstLine="200" w:firstLineChars="200"/>
      <w:jc w:val="left"/>
    </w:pPr>
    <w:rPr>
      <w:rFonts w:ascii="方正仿宋_GBK" w:hAnsi="方正仿宋_GBK" w:cs="宋体"/>
      <w:sz w:val="28"/>
      <w:szCs w:val="20"/>
    </w:rPr>
  </w:style>
  <w:style w:type="paragraph" w:customStyle="1" w:styleId="182">
    <w:name w:val="页脚 New New New New New"/>
    <w:basedOn w:val="1"/>
    <w:uiPriority w:val="99"/>
    <w:pPr>
      <w:widowControl/>
      <w:tabs>
        <w:tab w:val="center" w:pos="4153"/>
        <w:tab w:val="right" w:pos="8306"/>
      </w:tabs>
      <w:snapToGrid w:val="0"/>
      <w:jc w:val="left"/>
    </w:pPr>
    <w:rPr>
      <w:sz w:val="18"/>
    </w:rPr>
  </w:style>
  <w:style w:type="paragraph" w:customStyle="1" w:styleId="183">
    <w:name w:val="正 文"/>
    <w:basedOn w:val="1"/>
    <w:uiPriority w:val="99"/>
    <w:pPr>
      <w:spacing w:line="360" w:lineRule="auto"/>
      <w:ind w:firstLine="200" w:firstLineChars="200"/>
    </w:pPr>
    <w:rPr>
      <w:sz w:val="24"/>
      <w:szCs w:val="22"/>
    </w:rPr>
  </w:style>
  <w:style w:type="paragraph" w:customStyle="1" w:styleId="184">
    <w:name w:val="正文 New New New New New New New New New New New New New New New New"/>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85">
    <w:name w:val="表格2"/>
    <w:basedOn w:val="81"/>
    <w:next w:val="1"/>
    <w:uiPriority w:val="99"/>
    <w:pPr>
      <w:keepNext/>
    </w:pPr>
    <w:rPr>
      <w:kern w:val="0"/>
      <w:position w:val="-28"/>
      <w:szCs w:val="21"/>
    </w:rPr>
  </w:style>
  <w:style w:type="paragraph" w:customStyle="1" w:styleId="186">
    <w:name w:val="Char"/>
    <w:basedOn w:val="1"/>
    <w:uiPriority w:val="99"/>
    <w:rPr>
      <w:sz w:val="24"/>
    </w:rPr>
  </w:style>
  <w:style w:type="paragraph" w:customStyle="1" w:styleId="187">
    <w:name w:val="Char Char"/>
    <w:basedOn w:val="1"/>
    <w:uiPriority w:val="99"/>
    <w:pPr>
      <w:snapToGrid w:val="0"/>
      <w:spacing w:line="360" w:lineRule="auto"/>
      <w:ind w:firstLine="529" w:firstLineChars="200"/>
    </w:pPr>
    <w:rPr>
      <w:rFonts w:ascii="宋体" w:hAnsi="宋体"/>
      <w:b/>
    </w:rPr>
  </w:style>
  <w:style w:type="paragraph" w:customStyle="1" w:styleId="188">
    <w:name w:val="报告表大标题"/>
    <w:basedOn w:val="1"/>
    <w:uiPriority w:val="99"/>
    <w:pPr>
      <w:spacing w:line="360" w:lineRule="auto"/>
    </w:pPr>
    <w:rPr>
      <w:rFonts w:eastAsia="黑体"/>
      <w:b/>
      <w:sz w:val="28"/>
    </w:rPr>
  </w:style>
  <w:style w:type="paragraph" w:customStyle="1" w:styleId="189">
    <w:name w:val="表名2"/>
    <w:basedOn w:val="1"/>
    <w:uiPriority w:val="99"/>
    <w:pPr>
      <w:spacing w:before="120" w:after="120" w:line="240" w:lineRule="atLeast"/>
      <w:jc w:val="center"/>
    </w:pPr>
    <w:rPr>
      <w:b/>
      <w:bCs/>
      <w:sz w:val="24"/>
    </w:rPr>
  </w:style>
  <w:style w:type="paragraph" w:customStyle="1" w:styleId="190">
    <w:name w:val="Char Char3 Char Char"/>
    <w:basedOn w:val="1"/>
    <w:uiPriority w:val="99"/>
    <w:pPr>
      <w:adjustRightInd w:val="0"/>
      <w:snapToGrid w:val="0"/>
      <w:spacing w:line="360" w:lineRule="auto"/>
      <w:ind w:firstLine="567"/>
    </w:pPr>
  </w:style>
  <w:style w:type="paragraph" w:customStyle="1" w:styleId="191">
    <w:name w:val="Char Char Char1"/>
    <w:basedOn w:val="1"/>
    <w:uiPriority w:val="99"/>
  </w:style>
  <w:style w:type="paragraph" w:customStyle="1" w:styleId="192">
    <w:name w:val="Char Char Char Char Char Char1"/>
    <w:basedOn w:val="1"/>
    <w:uiPriority w:val="99"/>
    <w:rPr>
      <w:sz w:val="24"/>
    </w:rPr>
  </w:style>
  <w:style w:type="paragraph" w:customStyle="1" w:styleId="193">
    <w:name w:val="Char Char Char1 Char"/>
    <w:basedOn w:val="1"/>
    <w:uiPriority w:val="99"/>
    <w:pPr>
      <w:ind w:firstLine="480" w:firstLineChars="200"/>
    </w:pPr>
    <w:rPr>
      <w:rFonts w:ascii="宋体"/>
      <w:sz w:val="28"/>
      <w:szCs w:val="20"/>
    </w:rPr>
  </w:style>
  <w:style w:type="paragraph" w:customStyle="1" w:styleId="194">
    <w:name w:val="表格 23"/>
    <w:basedOn w:val="1"/>
    <w:uiPriority w:val="99"/>
    <w:pPr>
      <w:jc w:val="center"/>
    </w:pPr>
    <w:rPr>
      <w:rFonts w:hAnsi="宋体"/>
      <w:szCs w:val="21"/>
    </w:rPr>
  </w:style>
  <w:style w:type="paragraph" w:customStyle="1" w:styleId="195">
    <w:name w:val="正文 03"/>
    <w:basedOn w:val="1"/>
    <w:uiPriority w:val="99"/>
    <w:pPr>
      <w:autoSpaceDE w:val="0"/>
      <w:autoSpaceDN w:val="0"/>
      <w:adjustRightInd w:val="0"/>
      <w:textAlignment w:val="baseline"/>
    </w:pPr>
    <w:rPr>
      <w:rFonts w:eastAsia="楷体_GB2312"/>
      <w:kern w:val="0"/>
      <w:sz w:val="24"/>
      <w:szCs w:val="20"/>
    </w:rPr>
  </w:style>
  <w:style w:type="character" w:customStyle="1" w:styleId="196">
    <w:name w:val="正文 Char"/>
    <w:uiPriority w:val="99"/>
    <w:rPr>
      <w:rFonts w:eastAsia="楷体_GB2312"/>
      <w:kern w:val="2"/>
      <w:sz w:val="24"/>
    </w:rPr>
  </w:style>
  <w:style w:type="character" w:customStyle="1" w:styleId="197">
    <w:name w:val="表格字体 Char"/>
    <w:link w:val="147"/>
    <w:locked/>
    <w:uiPriority w:val="99"/>
    <w:rPr>
      <w:kern w:val="2"/>
      <w:sz w:val="24"/>
    </w:rPr>
  </w:style>
  <w:style w:type="character" w:customStyle="1" w:styleId="198">
    <w:name w:val="copyright1"/>
    <w:uiPriority w:val="99"/>
    <w:rPr>
      <w:color w:val="000000"/>
    </w:rPr>
  </w:style>
  <w:style w:type="paragraph" w:customStyle="1" w:styleId="199">
    <w:name w:val="mm表格内容"/>
    <w:basedOn w:val="1"/>
    <w:next w:val="1"/>
    <w:uiPriority w:val="99"/>
    <w:pPr>
      <w:jc w:val="center"/>
    </w:pPr>
    <w:rPr>
      <w:rFonts w:cs="宋体"/>
      <w:color w:val="000000"/>
      <w:szCs w:val="20"/>
    </w:rPr>
  </w:style>
  <w:style w:type="paragraph" w:customStyle="1" w:styleId="200">
    <w:name w:val="修订1"/>
    <w:hidden/>
    <w:uiPriority w:val="99"/>
    <w:rPr>
      <w:rFonts w:ascii="Times New Roman" w:hAnsi="Times New Roman" w:eastAsia="宋体" w:cs="Times New Roman"/>
      <w:kern w:val="2"/>
      <w:sz w:val="21"/>
      <w:szCs w:val="24"/>
      <w:lang w:val="en-US" w:eastAsia="zh-CN" w:bidi="ar-SA"/>
    </w:rPr>
  </w:style>
  <w:style w:type="paragraph" w:customStyle="1" w:styleId="201">
    <w:name w:val="我的正文"/>
    <w:uiPriority w:val="99"/>
    <w:pPr>
      <w:spacing w:line="360" w:lineRule="auto"/>
      <w:jc w:val="both"/>
    </w:pPr>
    <w:rPr>
      <w:rFonts w:ascii="Times New Roman" w:hAnsi="Times New Roman" w:eastAsia="宋体" w:cs="Times New Roman"/>
      <w:kern w:val="2"/>
      <w:sz w:val="24"/>
      <w:szCs w:val="24"/>
      <w:lang w:val="en-US" w:eastAsia="zh-CN" w:bidi="ar-SA"/>
    </w:rPr>
  </w:style>
  <w:style w:type="paragraph" w:customStyle="1" w:styleId="202">
    <w:name w:val="Lux 正文"/>
    <w:basedOn w:val="1"/>
    <w:uiPriority w:val="99"/>
    <w:pPr>
      <w:spacing w:before="80" w:after="80" w:line="500" w:lineRule="exact"/>
      <w:ind w:firstLine="200" w:firstLineChars="200"/>
    </w:pPr>
    <w:rPr>
      <w:kern w:val="0"/>
      <w:sz w:val="24"/>
      <w:szCs w:val="20"/>
    </w:rPr>
  </w:style>
  <w:style w:type="paragraph" w:customStyle="1" w:styleId="203">
    <w:name w:val="mm表头"/>
    <w:basedOn w:val="1"/>
    <w:uiPriority w:val="99"/>
    <w:pPr>
      <w:spacing w:line="480" w:lineRule="exact"/>
      <w:jc w:val="center"/>
    </w:pPr>
    <w:rPr>
      <w:rFonts w:eastAsia="黑体" w:cs="宋体"/>
      <w:bCs/>
      <w:color w:val="000000"/>
      <w:sz w:val="24"/>
      <w:szCs w:val="20"/>
    </w:rPr>
  </w:style>
  <w:style w:type="paragraph" w:customStyle="1" w:styleId="204">
    <w:name w:val="mm标题3"/>
    <w:basedOn w:val="1"/>
    <w:uiPriority w:val="99"/>
    <w:pPr>
      <w:spacing w:line="480" w:lineRule="exact"/>
      <w:ind w:firstLine="200" w:firstLineChars="200"/>
    </w:pPr>
    <w:rPr>
      <w:rFonts w:cs="宋体"/>
      <w:b/>
      <w:bCs/>
      <w:color w:val="000000"/>
      <w:sz w:val="24"/>
      <w:szCs w:val="20"/>
    </w:rPr>
  </w:style>
  <w:style w:type="paragraph" w:customStyle="1" w:styleId="205">
    <w:name w:val="修订2"/>
    <w:hidden/>
    <w:uiPriority w:val="99"/>
    <w:rPr>
      <w:rFonts w:ascii="Times New Roman" w:hAnsi="Times New Roman" w:eastAsia="宋体" w:cs="Times New Roman"/>
      <w:kern w:val="2"/>
      <w:sz w:val="21"/>
      <w:szCs w:val="24"/>
      <w:lang w:val="en-US" w:eastAsia="zh-CN" w:bidi="ar-SA"/>
    </w:rPr>
  </w:style>
  <w:style w:type="character" w:customStyle="1" w:styleId="206">
    <w:name w:val="内容 Char Char"/>
    <w:link w:val="207"/>
    <w:locked/>
    <w:uiPriority w:val="99"/>
    <w:rPr>
      <w:color w:val="000000"/>
      <w:kern w:val="2"/>
      <w:sz w:val="24"/>
    </w:rPr>
  </w:style>
  <w:style w:type="paragraph" w:customStyle="1" w:styleId="207">
    <w:name w:val="内容"/>
    <w:basedOn w:val="1"/>
    <w:link w:val="206"/>
    <w:uiPriority w:val="99"/>
    <w:pPr>
      <w:spacing w:beforeLines="50" w:afterLines="50"/>
      <w:ind w:firstLine="200" w:firstLineChars="200"/>
    </w:pPr>
    <w:rPr>
      <w:color w:val="000000"/>
      <w:sz w:val="24"/>
    </w:rPr>
  </w:style>
  <w:style w:type="paragraph" w:customStyle="1" w:styleId="208">
    <w:name w:val="修订3"/>
    <w:hidden/>
    <w:uiPriority w:val="99"/>
    <w:rPr>
      <w:rFonts w:ascii="Times New Roman" w:hAnsi="Times New Roman" w:eastAsia="宋体" w:cs="Times New Roman"/>
      <w:kern w:val="2"/>
      <w:sz w:val="21"/>
      <w:szCs w:val="24"/>
      <w:lang w:val="en-US" w:eastAsia="zh-CN" w:bidi="ar-SA"/>
    </w:rPr>
  </w:style>
  <w:style w:type="character" w:customStyle="1" w:styleId="209">
    <w:name w:val="表格文字 Char"/>
    <w:locked/>
    <w:uiPriority w:val="99"/>
    <w:rPr>
      <w:kern w:val="2"/>
      <w:position w:val="-10"/>
      <w:sz w:val="21"/>
    </w:rPr>
  </w:style>
  <w:style w:type="character" w:customStyle="1" w:styleId="210">
    <w:name w:val="正文（DMS） Char1"/>
    <w:link w:val="211"/>
    <w:locked/>
    <w:uiPriority w:val="99"/>
    <w:rPr>
      <w:b/>
      <w:kern w:val="2"/>
      <w:sz w:val="24"/>
    </w:rPr>
  </w:style>
  <w:style w:type="paragraph" w:customStyle="1" w:styleId="211">
    <w:name w:val="正文（DMS）"/>
    <w:basedOn w:val="1"/>
    <w:link w:val="210"/>
    <w:uiPriority w:val="99"/>
    <w:pPr>
      <w:spacing w:line="360" w:lineRule="auto"/>
    </w:pPr>
    <w:rPr>
      <w:b/>
      <w:sz w:val="24"/>
    </w:rPr>
  </w:style>
  <w:style w:type="paragraph" w:customStyle="1" w:styleId="212">
    <w:name w:val="表格题目"/>
    <w:basedOn w:val="1"/>
    <w:uiPriority w:val="99"/>
    <w:pPr>
      <w:adjustRightInd w:val="0"/>
      <w:snapToGrid w:val="0"/>
      <w:spacing w:line="288" w:lineRule="auto"/>
      <w:jc w:val="center"/>
    </w:pPr>
    <w:rPr>
      <w:rFonts w:cs="宋体"/>
      <w:b/>
      <w:bCs/>
      <w:szCs w:val="20"/>
    </w:rPr>
  </w:style>
  <w:style w:type="paragraph" w:customStyle="1" w:styleId="213">
    <w:name w:val="mm正文"/>
    <w:basedOn w:val="1"/>
    <w:uiPriority w:val="99"/>
    <w:pPr>
      <w:spacing w:line="480" w:lineRule="exact"/>
      <w:ind w:firstLine="200" w:firstLineChars="200"/>
    </w:pPr>
    <w:rPr>
      <w:rFonts w:cs="宋体"/>
      <w:color w:val="000000"/>
      <w:sz w:val="24"/>
      <w:szCs w:val="20"/>
    </w:rPr>
  </w:style>
  <w:style w:type="character" w:customStyle="1" w:styleId="214">
    <w:name w:val="表格 Char Char"/>
    <w:link w:val="215"/>
    <w:locked/>
    <w:uiPriority w:val="99"/>
    <w:rPr>
      <w:sz w:val="24"/>
      <w:lang w:val="en-US" w:eastAsia="zh-CN"/>
    </w:rPr>
  </w:style>
  <w:style w:type="paragraph" w:customStyle="1" w:styleId="215">
    <w:name w:val="表格"/>
    <w:next w:val="1"/>
    <w:link w:val="214"/>
    <w:uiPriority w:val="99"/>
    <w:pPr>
      <w:keepNext/>
      <w:widowControl w:val="0"/>
      <w:autoSpaceDE w:val="0"/>
      <w:autoSpaceDN w:val="0"/>
      <w:adjustRightInd w:val="0"/>
      <w:jc w:val="center"/>
    </w:pPr>
    <w:rPr>
      <w:rFonts w:ascii="Times New Roman" w:hAnsi="Times New Roman" w:eastAsia="宋体" w:cs="Times New Roman"/>
      <w:sz w:val="24"/>
      <w:lang w:val="en-US" w:eastAsia="zh-CN" w:bidi="ar-SA"/>
    </w:rPr>
  </w:style>
  <w:style w:type="paragraph" w:customStyle="1" w:styleId="216">
    <w:name w:val="表格填充1"/>
    <w:basedOn w:val="16"/>
    <w:uiPriority w:val="99"/>
    <w:pPr>
      <w:snapToGrid w:val="0"/>
      <w:spacing w:before="0" w:after="0"/>
      <w:ind w:firstLine="0"/>
    </w:pPr>
    <w:rPr>
      <w:rFonts w:ascii="Times New Roman" w:hAnsi="Times New Roman" w:eastAsia="仿宋_GB2312"/>
      <w:sz w:val="28"/>
    </w:rPr>
  </w:style>
  <w:style w:type="character" w:customStyle="1" w:styleId="217">
    <w:name w:val="正文样式 Char Char"/>
    <w:link w:val="218"/>
    <w:locked/>
    <w:uiPriority w:val="99"/>
    <w:rPr>
      <w:sz w:val="24"/>
      <w:lang w:val="en-US" w:eastAsia="zh-CN"/>
    </w:rPr>
  </w:style>
  <w:style w:type="paragraph" w:customStyle="1" w:styleId="218">
    <w:name w:val="正文样式"/>
    <w:link w:val="217"/>
    <w:uiPriority w:val="99"/>
    <w:pPr>
      <w:tabs>
        <w:tab w:val="left" w:pos="630"/>
        <w:tab w:val="left" w:pos="1260"/>
      </w:tabs>
      <w:adjustRightInd w:val="0"/>
      <w:snapToGrid w:val="0"/>
      <w:spacing w:line="360" w:lineRule="auto"/>
      <w:ind w:firstLine="200" w:firstLineChars="200"/>
      <w:jc w:val="both"/>
    </w:pPr>
    <w:rPr>
      <w:rFonts w:ascii="Times New Roman" w:hAnsi="Times New Roman" w:eastAsia="宋体" w:cs="Times New Roman"/>
      <w:sz w:val="24"/>
      <w:szCs w:val="24"/>
      <w:lang w:val="en-US" w:eastAsia="zh-CN" w:bidi="ar-SA"/>
    </w:rPr>
  </w:style>
  <w:style w:type="character" w:customStyle="1" w:styleId="219">
    <w:name w:val="表格内文字 Char Char"/>
    <w:link w:val="220"/>
    <w:locked/>
    <w:uiPriority w:val="99"/>
    <w:rPr>
      <w:rFonts w:eastAsia="仿宋_GB2312"/>
      <w:kern w:val="2"/>
      <w:sz w:val="24"/>
    </w:rPr>
  </w:style>
  <w:style w:type="paragraph" w:customStyle="1" w:styleId="220">
    <w:name w:val="表格内文字"/>
    <w:basedOn w:val="1"/>
    <w:link w:val="219"/>
    <w:uiPriority w:val="99"/>
    <w:pPr>
      <w:tabs>
        <w:tab w:val="left" w:pos="0"/>
      </w:tabs>
      <w:adjustRightInd w:val="0"/>
      <w:snapToGrid w:val="0"/>
      <w:jc w:val="center"/>
    </w:pPr>
    <w:rPr>
      <w:rFonts w:eastAsia="仿宋_GB2312"/>
      <w:sz w:val="24"/>
    </w:rPr>
  </w:style>
  <w:style w:type="paragraph" w:customStyle="1" w:styleId="221">
    <w:name w:val="报告表三级标题"/>
    <w:basedOn w:val="1"/>
    <w:uiPriority w:val="99"/>
    <w:pPr>
      <w:spacing w:line="360" w:lineRule="auto"/>
      <w:ind w:left="420" w:hanging="420"/>
    </w:pPr>
    <w:rPr>
      <w:rFonts w:hAnsi="宋体"/>
      <w:b/>
      <w:bCs/>
      <w:color w:val="000000"/>
      <w:sz w:val="24"/>
    </w:rPr>
  </w:style>
  <w:style w:type="character" w:customStyle="1" w:styleId="222">
    <w:name w:val="图表名称 Char"/>
    <w:link w:val="223"/>
    <w:locked/>
    <w:uiPriority w:val="99"/>
    <w:rPr>
      <w:b/>
      <w:kern w:val="2"/>
      <w:sz w:val="28"/>
      <w:lang w:val="en-US" w:eastAsia="zh-CN"/>
    </w:rPr>
  </w:style>
  <w:style w:type="paragraph" w:customStyle="1" w:styleId="223">
    <w:name w:val="图表名称"/>
    <w:next w:val="151"/>
    <w:link w:val="222"/>
    <w:uiPriority w:val="99"/>
    <w:pPr>
      <w:spacing w:line="360" w:lineRule="auto"/>
      <w:jc w:val="center"/>
    </w:pPr>
    <w:rPr>
      <w:rFonts w:ascii="Times New Roman" w:hAnsi="Times New Roman" w:eastAsia="宋体" w:cs="Times New Roman"/>
      <w:b/>
      <w:bCs/>
      <w:kern w:val="2"/>
      <w:sz w:val="21"/>
      <w:szCs w:val="28"/>
      <w:lang w:val="en-US" w:eastAsia="zh-CN" w:bidi="ar-SA"/>
    </w:rPr>
  </w:style>
  <w:style w:type="paragraph" w:customStyle="1" w:styleId="224">
    <w:name w:val="表格内容"/>
    <w:uiPriority w:val="99"/>
    <w:pPr>
      <w:jc w:val="center"/>
    </w:pPr>
    <w:rPr>
      <w:rFonts w:ascii="Times New Roman" w:hAnsi="Times New Roman" w:eastAsia="宋体" w:cs="Times New Roman"/>
      <w:kern w:val="2"/>
      <w:sz w:val="21"/>
      <w:szCs w:val="21"/>
      <w:lang w:val="en-US" w:eastAsia="zh-CN" w:bidi="ar-SA"/>
    </w:rPr>
  </w:style>
  <w:style w:type="paragraph" w:customStyle="1" w:styleId="225">
    <w:name w:val="图片"/>
    <w:basedOn w:val="1"/>
    <w:uiPriority w:val="99"/>
    <w:pPr>
      <w:adjustRightInd w:val="0"/>
      <w:snapToGrid w:val="0"/>
      <w:spacing w:beforeLines="50" w:afterLines="50"/>
      <w:jc w:val="center"/>
    </w:pPr>
    <w:rPr>
      <w:rFonts w:ascii="黑体" w:hAnsi="Arial" w:eastAsia="黑体"/>
    </w:rPr>
  </w:style>
  <w:style w:type="paragraph" w:customStyle="1" w:styleId="226">
    <w:name w:val="段落"/>
    <w:basedOn w:val="1"/>
    <w:uiPriority w:val="99"/>
    <w:pPr>
      <w:spacing w:line="360" w:lineRule="auto"/>
      <w:ind w:firstLine="540"/>
    </w:pPr>
    <w:rPr>
      <w:kern w:val="0"/>
      <w:sz w:val="24"/>
    </w:rPr>
  </w:style>
  <w:style w:type="paragraph" w:customStyle="1" w:styleId="227">
    <w:name w:val="样式10"/>
    <w:basedOn w:val="1"/>
    <w:uiPriority w:val="99"/>
    <w:pPr>
      <w:spacing w:line="360" w:lineRule="auto"/>
      <w:ind w:firstLine="480" w:firstLineChars="200"/>
    </w:pPr>
    <w:rPr>
      <w:rFonts w:ascii="宋体"/>
      <w:lang w:val="zh-CN"/>
    </w:rPr>
  </w:style>
  <w:style w:type="paragraph" w:styleId="228">
    <w:name w:val="List Paragraph"/>
    <w:basedOn w:val="1"/>
    <w:qFormat/>
    <w:uiPriority w:val="99"/>
    <w:pPr>
      <w:ind w:firstLine="420" w:firstLineChars="200"/>
    </w:pPr>
  </w:style>
  <w:style w:type="character" w:customStyle="1" w:styleId="229">
    <w:name w:val="小五表格 Char"/>
    <w:link w:val="230"/>
    <w:uiPriority w:val="0"/>
    <w:rPr>
      <w:kern w:val="2"/>
      <w:sz w:val="18"/>
      <w:szCs w:val="21"/>
    </w:rPr>
  </w:style>
  <w:style w:type="paragraph" w:customStyle="1" w:styleId="230">
    <w:name w:val="小五表格"/>
    <w:link w:val="229"/>
    <w:qFormat/>
    <w:uiPriority w:val="0"/>
    <w:pPr>
      <w:jc w:val="center"/>
    </w:pPr>
    <w:rPr>
      <w:rFonts w:ascii="Times New Roman" w:hAnsi="Times New Roman" w:eastAsia="宋体" w:cs="Times New Roman"/>
      <w:kern w:val="2"/>
      <w:sz w:val="18"/>
      <w:szCs w:val="21"/>
      <w:lang w:val="en-US" w:eastAsia="zh-CN" w:bidi="ar-SA"/>
    </w:rPr>
  </w:style>
  <w:style w:type="character" w:customStyle="1" w:styleId="231">
    <w:name w:val="标题 6 字符"/>
    <w:basedOn w:val="31"/>
    <w:link w:val="7"/>
    <w:uiPriority w:val="0"/>
    <w:rPr>
      <w:rFonts w:asciiTheme="majorHAnsi" w:hAnsiTheme="majorHAnsi" w:eastAsiaTheme="majorEastAsia" w:cstheme="majorBidi"/>
      <w:b/>
      <w:bCs/>
      <w:kern w:val="2"/>
      <w:sz w:val="24"/>
      <w:szCs w:val="24"/>
    </w:rPr>
  </w:style>
  <w:style w:type="character" w:customStyle="1" w:styleId="232">
    <w:name w:val="正文 32 Char"/>
    <w:uiPriority w:val="0"/>
    <w:rPr>
      <w:rFonts w:eastAsia="楷体_GB2312"/>
      <w:sz w:val="24"/>
    </w:rPr>
  </w:style>
  <w:style w:type="character" w:customStyle="1" w:styleId="233">
    <w:name w:val="报告正文 Char Char"/>
    <w:link w:val="162"/>
    <w:qFormat/>
    <w:uiPriority w:val="1"/>
    <w:rPr>
      <w:bCs/>
      <w:color w:val="000000"/>
      <w:sz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header" Target="header1.xml"/><Relationship Id="rId29" Type="http://schemas.openxmlformats.org/officeDocument/2006/relationships/oleObject" Target="embeddings/oleObject1.bin"/><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emf"/><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55"/>
    <customShpInfo spid="_x0000_s2049"/>
    <customShpInfo spid="_x0000_s1026"/>
    <customShpInfo spid="_x0000_s1043"/>
    <customShpInfo spid="_x0000_s1042"/>
    <customShpInfo spid="_x0000_s1027"/>
    <customShpInfo spid="_x0000_s1032"/>
    <customShpInfo spid="_x0000_s1035"/>
    <customShpInfo spid="_x0000_s1039"/>
    <customShpInfo spid="_x0000_s1038"/>
    <customShpInfo spid="_x0000_s1031"/>
    <customShpInfo spid="_x0000_s1030"/>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BA32D36-7837-4092-9457-EC0A9ACA8663}">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73</Pages>
  <Words>7447</Words>
  <Characters>42453</Characters>
  <Lines>353</Lines>
  <Paragraphs>99</Paragraphs>
  <TotalTime>2152</TotalTime>
  <ScaleCrop>false</ScaleCrop>
  <LinksUpToDate>false</LinksUpToDate>
  <CharactersWithSpaces>49801</CharactersWithSpaces>
  <Application>WPS Office_11.1.0.9739_F1E327BC-269C-435d-A152-05C5408002CA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2019-09-20T07:41:00Z</dcterms:created>
  <dc:creator>Administrator</dc:creator>
  <cp:lastModifiedBy>叮铛（BTF护颈仪代理商）</cp:lastModifiedBy>
  <cp:lastPrinted>2020-07-10T02:30:00Z</cp:lastPrinted>
  <dcterms:modified xsi:type="dcterms:W3CDTF">2020-08-10T10:24:33Z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2052-11.1.0.9739</vt:lpwstr>
  </property>
</Properties>
</file>