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D6B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关于下达202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年省级公益林效益补偿</w:t>
      </w:r>
    </w:p>
    <w:p w14:paraId="6F77BB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资金和管理费的通知</w:t>
      </w:r>
    </w:p>
    <w:p w14:paraId="4E39D47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0"/>
          <w:szCs w:val="30"/>
        </w:rPr>
      </w:pPr>
    </w:p>
    <w:p w14:paraId="7616C0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各村委会：</w:t>
      </w:r>
    </w:p>
    <w:p w14:paraId="0FBBBF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林[2025]12</w:t>
      </w:r>
      <w:r>
        <w:rPr>
          <w:rFonts w:hint="eastAsia" w:ascii="仿宋_GB2312" w:hAnsi="仿宋_GB2312" w:eastAsia="仿宋_GB2312" w:cs="仿宋_GB2312"/>
          <w:sz w:val="32"/>
          <w:szCs w:val="32"/>
        </w:rPr>
        <w:t>号文《关于下达202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年省级生态公益林效益补偿资金的通知》文件精神，经场研究同意下拨，为使该款落到实处，特作如下通知：</w:t>
      </w:r>
    </w:p>
    <w:p w14:paraId="178A60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生态公益林效益补偿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资金分配：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年生态公益林效益补偿资金总额：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717056.00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管理费（含镇村级）总额：26892.00元，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其中拨给石镜美村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损失性补偿金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82461</w:t>
      </w:r>
      <w:r>
        <w:rPr>
          <w:rFonts w:hint="eastAsia" w:ascii="仿宋_GB2312" w:hAnsi="仿宋_GB2312" w:eastAsia="仿宋_GB2312" w:cs="仿宋_GB2312"/>
          <w:sz w:val="32"/>
          <w:szCs w:val="32"/>
        </w:rPr>
        <w:t>.00元，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管理费：3092.00元。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凉亭村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损失性补偿金：45892</w:t>
      </w:r>
      <w:r>
        <w:rPr>
          <w:rFonts w:hint="eastAsia" w:ascii="仿宋_GB2312" w:hAnsi="仿宋_GB2312" w:eastAsia="仿宋_GB2312" w:cs="仿宋_GB2312"/>
          <w:sz w:val="32"/>
          <w:szCs w:val="32"/>
        </w:rPr>
        <w:t>.00元，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管理费：1722.00元。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桐树下村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损失性补偿金：27965</w:t>
      </w:r>
      <w:r>
        <w:rPr>
          <w:rFonts w:hint="eastAsia" w:ascii="仿宋_GB2312" w:hAnsi="仿宋_GB2312" w:eastAsia="仿宋_GB2312" w:cs="仿宋_GB2312"/>
          <w:sz w:val="32"/>
          <w:szCs w:val="32"/>
        </w:rPr>
        <w:t>.00元，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管理费：1050.00元。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大坪尾村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损失性补偿金：44457</w:t>
      </w:r>
      <w:r>
        <w:rPr>
          <w:rFonts w:hint="eastAsia" w:ascii="仿宋_GB2312" w:hAnsi="仿宋_GB2312" w:eastAsia="仿宋_GB2312" w:cs="仿宋_GB2312"/>
          <w:sz w:val="32"/>
          <w:szCs w:val="32"/>
        </w:rPr>
        <w:t>.00元，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管理费：1668.00元。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场属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损失性补偿金：516281</w:t>
      </w:r>
      <w:r>
        <w:rPr>
          <w:rFonts w:hint="eastAsia" w:ascii="仿宋_GB2312" w:hAnsi="仿宋_GB2312" w:eastAsia="仿宋_GB2312" w:cs="仿宋_GB2312"/>
          <w:sz w:val="32"/>
          <w:szCs w:val="32"/>
        </w:rPr>
        <w:t>.00元，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管理费：19360.00元。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以上各单位拨款明细（详见附表一）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7EB25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2、资金使用：为保障我场集体林权制度改革成果，落实《中共广东省委广东省人民政府关于林地集体林权制度改革的意见》（粤发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sz w:val="32"/>
          <w:szCs w:val="32"/>
        </w:rPr>
        <w:t>2008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</w:rPr>
        <w:t>14号）中关于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采取均股、均利的经营方式和依法流转的集体山林所得收效 70％以上均分给集体经济组织内部成员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的规定，保障林农利益。农场四个村在林改中均属集体统一经营山林，必须按70％及以上足额发放到林农手中，任何单位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个人、集体都不能截留、挪用损失性补偿资金。</w:t>
      </w:r>
    </w:p>
    <w:p w14:paraId="1E8FCC3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3、资金发放：各村必须将村集体统一经营的补偿资金的 70％以上均分给集体经济组织内部成员，要求各村完善造册登记签名和名册公示手续，然后按计财股由场计财股通过一卡（折）通方式发放到户。</w:t>
      </w:r>
    </w:p>
    <w:p w14:paraId="0618AB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4、加强管理：各村应严格资金管理，账务公开，并将资金发放签收表公示照片报送农场。</w:t>
      </w:r>
    </w:p>
    <w:p w14:paraId="4A4A383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A498A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附表一： 大坪农场202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年省级生态公益林效益补偿</w:t>
      </w:r>
    </w:p>
    <w:p w14:paraId="3129D6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1915" w:leftChars="912"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安排表</w:t>
      </w:r>
    </w:p>
    <w:p w14:paraId="3EEB2CA0">
      <w:pPr>
        <w:pStyle w:val="2"/>
        <w:rPr>
          <w:rFonts w:hint="eastAsia"/>
          <w:lang w:val="en-US" w:eastAsia="zh-CN"/>
        </w:rPr>
      </w:pPr>
    </w:p>
    <w:p w14:paraId="7AD356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广东农垦大坪农场有限公司    </w:t>
      </w:r>
    </w:p>
    <w:p w14:paraId="3E3F6F46">
      <w:pPr>
        <w:ind w:firstLine="4480" w:firstLineChars="1400"/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2025年12月25日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A5967"/>
    <w:rsid w:val="15FA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20" w:after="120"/>
      <w:outlineLvl w:val="1"/>
    </w:pPr>
    <w:rPr>
      <w:rFonts w:ascii="Times New Roman" w:hAnsi="Times New Roman" w:eastAsia="微软雅黑" w:cs="Times New Roman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2025-12-30T08:17:00Z</dcterms:created>
  <dc:creator>Administrator</dc:creator>
  <cp:lastModifiedBy>Administrator</cp:lastModifiedBy>
  <dcterms:modified xsi:type="dcterms:W3CDTF">2025-12-30T08:18:00Z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C7D84A3B3E1F486388CF9FB6844A2224_11</vt:lpwstr>
  </property>
  <property fmtid="{D5CDD505-2E9C-101B-9397-08002B2CF9AE}" pid="4" name="KSOTemplateDocerSaveRecord">
    <vt:lpwstr>eyJoZGlkIjoiYTI2MWU3MjMzZTVhOTUyYzVlZDQ5ZmQzODdiZjkwMDEifQ==</vt:lpwstr>
  </property>
</Properties>
</file>