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C58497">
      <w:pPr>
        <w:jc w:val="center"/>
        <w:rPr>
          <w:rFonts w:hint="default" w:eastAsia="宋体"/>
          <w:b/>
          <w:bCs/>
          <w:sz w:val="32"/>
          <w:szCs w:val="32"/>
          <w:lang w:val="en-US" w:eastAsia="zh-CN"/>
        </w:rPr>
      </w:pPr>
      <w:r>
        <w:rPr>
          <w:rFonts w:hint="eastAsia"/>
          <w:b/>
          <w:bCs/>
          <w:sz w:val="32"/>
          <w:szCs w:val="32"/>
        </w:rPr>
        <w:t>南溪</w:t>
      </w:r>
      <w:r>
        <w:rPr>
          <w:rFonts w:hint="eastAsia"/>
          <w:b/>
          <w:bCs/>
          <w:sz w:val="32"/>
          <w:szCs w:val="32"/>
          <w:lang w:val="en-US" w:eastAsia="zh-CN"/>
        </w:rPr>
        <w:t>水乡党群服务中心24小时书吧氛围布设项目采购公告</w:t>
      </w:r>
    </w:p>
    <w:p w14:paraId="12729870">
      <w:pPr>
        <w:keepNext w:val="0"/>
        <w:keepLines w:val="0"/>
        <w:pageBreakBefore w:val="0"/>
        <w:kinsoku/>
        <w:wordWrap/>
        <w:overflowPunct/>
        <w:topLinePunct w:val="0"/>
        <w:autoSpaceDE/>
        <w:autoSpaceDN/>
        <w:bidi w:val="0"/>
        <w:adjustRightInd/>
        <w:snapToGrid/>
        <w:spacing w:line="240" w:lineRule="auto"/>
        <w:textAlignment w:val="auto"/>
        <w:rPr>
          <w:rFonts w:hint="eastAsia"/>
          <w:sz w:val="24"/>
          <w:szCs w:val="24"/>
          <w:lang w:val="en-US" w:eastAsia="zh-CN"/>
        </w:rPr>
      </w:pPr>
      <w:r>
        <w:rPr>
          <w:rFonts w:hint="eastAsia"/>
          <w:sz w:val="24"/>
          <w:szCs w:val="24"/>
          <w:lang w:val="en-US" w:eastAsia="zh-CN"/>
        </w:rPr>
        <w:t>一、项目概况</w:t>
      </w:r>
    </w:p>
    <w:p w14:paraId="34E936C7">
      <w:pPr>
        <w:keepNext w:val="0"/>
        <w:keepLines w:val="0"/>
        <w:pageBreakBefore w:val="0"/>
        <w:kinsoku/>
        <w:wordWrap/>
        <w:overflowPunct/>
        <w:topLinePunct w:val="0"/>
        <w:autoSpaceDE/>
        <w:autoSpaceDN/>
        <w:bidi w:val="0"/>
        <w:adjustRightInd/>
        <w:snapToGrid/>
        <w:spacing w:line="240" w:lineRule="auto"/>
        <w:textAlignment w:val="auto"/>
        <w:rPr>
          <w:rFonts w:hint="eastAsia"/>
          <w:color w:val="auto"/>
          <w:sz w:val="24"/>
          <w:szCs w:val="24"/>
          <w:lang w:val="en-US" w:eastAsia="zh-CN"/>
        </w:rPr>
      </w:pPr>
      <w:r>
        <w:rPr>
          <w:rFonts w:hint="eastAsia"/>
          <w:color w:val="auto"/>
          <w:sz w:val="24"/>
          <w:szCs w:val="24"/>
          <w:lang w:val="en-US" w:eastAsia="zh-CN"/>
        </w:rPr>
        <w:t>采购人：普宁市南溪镇人民政府</w:t>
      </w:r>
    </w:p>
    <w:p w14:paraId="3F95479C">
      <w:pPr>
        <w:keepNext w:val="0"/>
        <w:keepLines w:val="0"/>
        <w:pageBreakBefore w:val="0"/>
        <w:kinsoku/>
        <w:wordWrap/>
        <w:overflowPunct/>
        <w:topLinePunct w:val="0"/>
        <w:autoSpaceDE/>
        <w:autoSpaceDN/>
        <w:bidi w:val="0"/>
        <w:adjustRightInd/>
        <w:snapToGrid/>
        <w:spacing w:line="240" w:lineRule="auto"/>
        <w:textAlignment w:val="auto"/>
        <w:rPr>
          <w:rFonts w:hint="eastAsia"/>
          <w:color w:val="auto"/>
          <w:sz w:val="24"/>
          <w:szCs w:val="24"/>
          <w:lang w:val="en-US" w:eastAsia="zh-CN"/>
        </w:rPr>
      </w:pPr>
      <w:r>
        <w:rPr>
          <w:rFonts w:hint="eastAsia"/>
          <w:color w:val="auto"/>
          <w:sz w:val="24"/>
          <w:szCs w:val="24"/>
          <w:lang w:val="en-US" w:eastAsia="zh-CN"/>
        </w:rPr>
        <w:t>联系电话：0663-2525201</w:t>
      </w:r>
    </w:p>
    <w:p w14:paraId="2C71475C">
      <w:pPr>
        <w:keepNext w:val="0"/>
        <w:keepLines w:val="0"/>
        <w:pageBreakBefore w:val="0"/>
        <w:kinsoku/>
        <w:wordWrap/>
        <w:overflowPunct/>
        <w:topLinePunct w:val="0"/>
        <w:autoSpaceDE/>
        <w:autoSpaceDN/>
        <w:bidi w:val="0"/>
        <w:adjustRightInd/>
        <w:snapToGrid/>
        <w:spacing w:line="240" w:lineRule="auto"/>
        <w:textAlignment w:val="auto"/>
        <w:rPr>
          <w:rFonts w:hint="default"/>
          <w:color w:val="auto"/>
          <w:sz w:val="24"/>
          <w:szCs w:val="24"/>
          <w:lang w:val="en-US" w:eastAsia="zh-CN"/>
        </w:rPr>
      </w:pPr>
      <w:r>
        <w:rPr>
          <w:rFonts w:hint="eastAsia"/>
          <w:color w:val="auto"/>
          <w:sz w:val="24"/>
          <w:szCs w:val="24"/>
          <w:lang w:val="en-US" w:eastAsia="zh-CN"/>
        </w:rPr>
        <w:t>联系人：邢女士</w:t>
      </w:r>
    </w:p>
    <w:p w14:paraId="0AAB7221">
      <w:pPr>
        <w:keepNext w:val="0"/>
        <w:keepLines w:val="0"/>
        <w:pageBreakBefore w:val="0"/>
        <w:kinsoku/>
        <w:wordWrap/>
        <w:overflowPunct/>
        <w:topLinePunct w:val="0"/>
        <w:autoSpaceDE/>
        <w:autoSpaceDN/>
        <w:bidi w:val="0"/>
        <w:adjustRightInd/>
        <w:snapToGrid/>
        <w:spacing w:line="240" w:lineRule="auto"/>
        <w:textAlignment w:val="auto"/>
        <w:rPr>
          <w:rFonts w:hint="eastAsia"/>
          <w:color w:val="auto"/>
          <w:sz w:val="24"/>
          <w:szCs w:val="24"/>
          <w:lang w:val="en-US" w:eastAsia="zh-CN"/>
        </w:rPr>
      </w:pPr>
      <w:r>
        <w:rPr>
          <w:rFonts w:hint="eastAsia"/>
          <w:color w:val="auto"/>
          <w:sz w:val="24"/>
          <w:szCs w:val="24"/>
          <w:lang w:val="en-US" w:eastAsia="zh-CN"/>
        </w:rPr>
        <w:t>收件地址：广东省揭阳市普宁市南溪镇人民政府4楼417号</w:t>
      </w:r>
    </w:p>
    <w:p w14:paraId="62E95B46">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color w:val="auto"/>
          <w:sz w:val="24"/>
          <w:szCs w:val="24"/>
          <w:lang w:eastAsia="zh-CN"/>
        </w:rPr>
      </w:pPr>
      <w:r>
        <w:rPr>
          <w:rFonts w:hint="eastAsia"/>
          <w:color w:val="auto"/>
          <w:sz w:val="24"/>
          <w:szCs w:val="24"/>
        </w:rPr>
        <w:t>项目</w:t>
      </w:r>
      <w:r>
        <w:rPr>
          <w:rFonts w:hint="eastAsia"/>
          <w:color w:val="auto"/>
          <w:sz w:val="24"/>
          <w:szCs w:val="24"/>
          <w:lang w:val="en-US" w:eastAsia="zh-CN"/>
        </w:rPr>
        <w:t>概况:制作楼梯间文化墙、制作指引造型墙、制作不锈钢牌匾、定制24小时书吧背景墙、定制24小时书吧背景文化造型、矮凳、通道闸机等</w:t>
      </w:r>
      <w:r>
        <w:rPr>
          <w:rFonts w:hint="eastAsia"/>
          <w:color w:val="auto"/>
          <w:sz w:val="24"/>
          <w:szCs w:val="24"/>
          <w:lang w:eastAsia="zh-CN"/>
        </w:rPr>
        <w:t>；</w:t>
      </w:r>
    </w:p>
    <w:p w14:paraId="5C32889A">
      <w:pPr>
        <w:keepNext w:val="0"/>
        <w:keepLines w:val="0"/>
        <w:pageBreakBefore w:val="0"/>
        <w:kinsoku/>
        <w:wordWrap/>
        <w:overflowPunct/>
        <w:topLinePunct w:val="0"/>
        <w:autoSpaceDE/>
        <w:autoSpaceDN/>
        <w:bidi w:val="0"/>
        <w:adjustRightInd/>
        <w:snapToGrid/>
        <w:spacing w:line="240" w:lineRule="auto"/>
        <w:textAlignment w:val="auto"/>
        <w:rPr>
          <w:rFonts w:hint="eastAsia"/>
          <w:color w:val="auto"/>
          <w:sz w:val="24"/>
          <w:szCs w:val="24"/>
          <w:lang w:val="en-US" w:eastAsia="zh-CN"/>
        </w:rPr>
      </w:pPr>
      <w:r>
        <w:rPr>
          <w:rFonts w:hint="eastAsia"/>
          <w:color w:val="auto"/>
          <w:sz w:val="24"/>
          <w:szCs w:val="24"/>
        </w:rPr>
        <w:t>项目</w:t>
      </w:r>
      <w:r>
        <w:rPr>
          <w:rFonts w:hint="eastAsia"/>
          <w:color w:val="auto"/>
          <w:sz w:val="24"/>
          <w:szCs w:val="24"/>
          <w:lang w:val="en-US" w:eastAsia="zh-CN"/>
        </w:rPr>
        <w:t>服务</w:t>
      </w:r>
      <w:r>
        <w:rPr>
          <w:rFonts w:hint="eastAsia"/>
          <w:color w:val="auto"/>
          <w:sz w:val="24"/>
          <w:szCs w:val="24"/>
        </w:rPr>
        <w:t>内容:</w:t>
      </w:r>
      <w:r>
        <w:rPr>
          <w:rFonts w:hint="eastAsia"/>
          <w:color w:val="auto"/>
          <w:sz w:val="24"/>
          <w:szCs w:val="24"/>
          <w:lang w:val="en-US" w:eastAsia="zh-CN"/>
        </w:rPr>
        <w:t>楼梯间文化墙（1套）、指引造型墙（1套）、不锈钢牌匾（1套）、定制24小时书吧背景墙（1套）、定制24小时书吧背景文化造型（1套）、矮凳（1套）、通道闸机（1套），具体清单详见南溪水乡党群服务中心24小时书吧氛围布设项目效果图。</w:t>
      </w:r>
    </w:p>
    <w:p w14:paraId="3B8F695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color w:val="auto"/>
          <w:sz w:val="24"/>
          <w:szCs w:val="24"/>
          <w:lang w:val="en-US"/>
        </w:rPr>
      </w:pPr>
      <w:r>
        <w:rPr>
          <w:rFonts w:hint="eastAsia"/>
          <w:color w:val="auto"/>
          <w:sz w:val="24"/>
          <w:szCs w:val="24"/>
          <w:lang w:val="en-US" w:eastAsia="zh-CN"/>
        </w:rPr>
        <w:t>投标最高限</w:t>
      </w:r>
      <w:r>
        <w:rPr>
          <w:rFonts w:hint="eastAsia"/>
          <w:color w:val="auto"/>
          <w:sz w:val="24"/>
          <w:szCs w:val="24"/>
        </w:rPr>
        <w:t>价</w:t>
      </w:r>
      <w:r>
        <w:rPr>
          <w:rFonts w:hint="eastAsia"/>
          <w:color w:val="auto"/>
          <w:sz w:val="24"/>
          <w:szCs w:val="24"/>
          <w:lang w:eastAsia="zh-CN"/>
        </w:rPr>
        <w:t>：</w:t>
      </w:r>
      <w:r>
        <w:rPr>
          <w:rFonts w:hint="eastAsia"/>
          <w:color w:val="auto"/>
          <w:sz w:val="24"/>
          <w:szCs w:val="24"/>
          <w:lang w:val="en-US" w:eastAsia="zh-CN"/>
        </w:rPr>
        <w:t>52653.93元；</w:t>
      </w:r>
    </w:p>
    <w:p w14:paraId="46462241">
      <w:pPr>
        <w:keepNext w:val="0"/>
        <w:keepLines w:val="0"/>
        <w:pageBreakBefore w:val="0"/>
        <w:kinsoku/>
        <w:wordWrap/>
        <w:overflowPunct/>
        <w:topLinePunct w:val="0"/>
        <w:autoSpaceDE/>
        <w:autoSpaceDN/>
        <w:bidi w:val="0"/>
        <w:adjustRightInd/>
        <w:snapToGrid/>
        <w:spacing w:line="240" w:lineRule="auto"/>
        <w:textAlignment w:val="auto"/>
        <w:rPr>
          <w:rFonts w:hint="eastAsia"/>
          <w:color w:val="auto"/>
          <w:sz w:val="24"/>
          <w:szCs w:val="24"/>
          <w:lang w:val="en-US" w:eastAsia="zh-CN"/>
        </w:rPr>
      </w:pPr>
      <w:r>
        <w:rPr>
          <w:rFonts w:hint="eastAsia"/>
          <w:color w:val="auto"/>
          <w:sz w:val="24"/>
          <w:szCs w:val="24"/>
          <w:lang w:val="en-US" w:eastAsia="zh-CN"/>
        </w:rPr>
        <w:t>项目实施地点：普宁市南溪镇南溪水乡游客服务中心；</w:t>
      </w:r>
    </w:p>
    <w:p w14:paraId="7E6CE1C8">
      <w:pPr>
        <w:keepNext w:val="0"/>
        <w:keepLines w:val="0"/>
        <w:pageBreakBefore w:val="0"/>
        <w:kinsoku/>
        <w:wordWrap/>
        <w:overflowPunct/>
        <w:topLinePunct w:val="0"/>
        <w:autoSpaceDE/>
        <w:autoSpaceDN/>
        <w:bidi w:val="0"/>
        <w:adjustRightInd/>
        <w:snapToGrid/>
        <w:spacing w:line="240" w:lineRule="auto"/>
        <w:textAlignment w:val="auto"/>
        <w:rPr>
          <w:rFonts w:hint="eastAsia"/>
          <w:color w:val="auto"/>
          <w:sz w:val="24"/>
          <w:szCs w:val="24"/>
          <w:lang w:val="en-US" w:eastAsia="zh-CN"/>
        </w:rPr>
      </w:pPr>
      <w:r>
        <w:rPr>
          <w:rFonts w:hint="eastAsia"/>
          <w:color w:val="auto"/>
          <w:sz w:val="24"/>
          <w:szCs w:val="24"/>
          <w:lang w:val="en-US" w:eastAsia="zh-CN"/>
        </w:rPr>
        <w:t>项目采购方式：自行比较采购，从中标中选取价格低且报价合理的单位为中标单位；</w:t>
      </w:r>
    </w:p>
    <w:p w14:paraId="66475B0E">
      <w:pPr>
        <w:keepNext w:val="0"/>
        <w:keepLines w:val="0"/>
        <w:pageBreakBefore w:val="0"/>
        <w:kinsoku/>
        <w:wordWrap/>
        <w:overflowPunct/>
        <w:topLinePunct w:val="0"/>
        <w:autoSpaceDE/>
        <w:autoSpaceDN/>
        <w:bidi w:val="0"/>
        <w:adjustRightInd/>
        <w:snapToGrid/>
        <w:spacing w:line="240" w:lineRule="auto"/>
        <w:textAlignment w:val="auto"/>
        <w:rPr>
          <w:rFonts w:hint="default"/>
          <w:color w:val="auto"/>
          <w:sz w:val="24"/>
          <w:szCs w:val="24"/>
          <w:lang w:val="en-US" w:eastAsia="zh-CN"/>
        </w:rPr>
      </w:pPr>
      <w:r>
        <w:rPr>
          <w:rFonts w:hint="eastAsia"/>
          <w:color w:val="auto"/>
          <w:sz w:val="24"/>
          <w:szCs w:val="24"/>
          <w:lang w:val="en-US" w:eastAsia="zh-CN"/>
        </w:rPr>
        <w:t>合同履行期限：自合同签订之日起15日内。</w:t>
      </w:r>
    </w:p>
    <w:p w14:paraId="36035B49">
      <w:pPr>
        <w:keepNext w:val="0"/>
        <w:keepLines w:val="0"/>
        <w:pageBreakBefore w:val="0"/>
        <w:kinsoku/>
        <w:wordWrap/>
        <w:overflowPunct/>
        <w:topLinePunct w:val="0"/>
        <w:autoSpaceDE/>
        <w:autoSpaceDN/>
        <w:bidi w:val="0"/>
        <w:adjustRightInd/>
        <w:snapToGrid/>
        <w:spacing w:line="240" w:lineRule="auto"/>
        <w:textAlignment w:val="auto"/>
        <w:rPr>
          <w:rFonts w:hint="eastAsia"/>
          <w:sz w:val="24"/>
          <w:szCs w:val="24"/>
        </w:rPr>
      </w:pPr>
      <w:r>
        <w:rPr>
          <w:rFonts w:hint="eastAsia"/>
          <w:sz w:val="24"/>
          <w:szCs w:val="24"/>
          <w:lang w:val="en-US" w:eastAsia="zh-CN"/>
        </w:rPr>
        <w:t>二</w:t>
      </w:r>
      <w:r>
        <w:rPr>
          <w:rFonts w:hint="eastAsia"/>
          <w:sz w:val="24"/>
          <w:szCs w:val="24"/>
        </w:rPr>
        <w:t>、报价格式及要求</w:t>
      </w:r>
    </w:p>
    <w:p w14:paraId="1DC56C76">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lang w:val="en-US" w:eastAsia="zh-CN"/>
        </w:rPr>
        <w:t>1、</w:t>
      </w:r>
      <w:r>
        <w:rPr>
          <w:rFonts w:hint="eastAsia"/>
          <w:sz w:val="24"/>
          <w:szCs w:val="24"/>
        </w:rPr>
        <w:t>公司营业</w:t>
      </w:r>
      <w:r>
        <w:rPr>
          <w:rFonts w:hint="eastAsia"/>
          <w:sz w:val="24"/>
          <w:szCs w:val="24"/>
          <w:lang w:val="en-US" w:eastAsia="zh-CN"/>
        </w:rPr>
        <w:t>执照</w:t>
      </w:r>
      <w:r>
        <w:rPr>
          <w:rFonts w:hint="eastAsia"/>
          <w:sz w:val="24"/>
          <w:szCs w:val="24"/>
        </w:rPr>
        <w:t>复印件(加盖公章)</w:t>
      </w:r>
      <w:r>
        <w:rPr>
          <w:rFonts w:hint="eastAsia"/>
          <w:sz w:val="24"/>
          <w:szCs w:val="24"/>
          <w:lang w:eastAsia="zh-CN"/>
        </w:rPr>
        <w:t>；</w:t>
      </w:r>
    </w:p>
    <w:p w14:paraId="485D5D42">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lang w:val="en-US" w:eastAsia="zh-CN"/>
        </w:rPr>
        <w:t>2、</w:t>
      </w:r>
      <w:r>
        <w:rPr>
          <w:rFonts w:hint="eastAsia"/>
          <w:sz w:val="24"/>
          <w:szCs w:val="24"/>
        </w:rPr>
        <w:t>按照以上项目内容进行报价，形成报价文件(详见附件</w:t>
      </w:r>
      <w:r>
        <w:rPr>
          <w:rFonts w:hint="eastAsia"/>
          <w:sz w:val="24"/>
          <w:szCs w:val="24"/>
          <w:lang w:val="en-US" w:eastAsia="zh-CN"/>
        </w:rPr>
        <w:t>1</w:t>
      </w:r>
      <w:r>
        <w:rPr>
          <w:rFonts w:hint="eastAsia"/>
          <w:sz w:val="24"/>
          <w:szCs w:val="24"/>
        </w:rPr>
        <w:t>)并加盖公章</w:t>
      </w:r>
      <w:r>
        <w:rPr>
          <w:rFonts w:hint="eastAsia"/>
          <w:sz w:val="24"/>
          <w:szCs w:val="24"/>
          <w:lang w:eastAsia="zh-CN"/>
        </w:rPr>
        <w:t>；</w:t>
      </w:r>
    </w:p>
    <w:p w14:paraId="3E047BC8">
      <w:pPr>
        <w:keepNext w:val="0"/>
        <w:keepLines w:val="0"/>
        <w:pageBreakBefore w:val="0"/>
        <w:kinsoku/>
        <w:wordWrap/>
        <w:overflowPunct/>
        <w:topLinePunct w:val="0"/>
        <w:autoSpaceDE/>
        <w:autoSpaceDN/>
        <w:bidi w:val="0"/>
        <w:adjustRightInd/>
        <w:snapToGrid/>
        <w:spacing w:line="240" w:lineRule="auto"/>
        <w:textAlignment w:val="auto"/>
        <w:rPr>
          <w:rFonts w:hint="eastAsia"/>
          <w:sz w:val="24"/>
          <w:szCs w:val="24"/>
        </w:rPr>
      </w:pPr>
      <w:r>
        <w:rPr>
          <w:rFonts w:hint="eastAsia"/>
          <w:sz w:val="24"/>
          <w:szCs w:val="24"/>
          <w:lang w:val="en-US" w:eastAsia="zh-CN"/>
        </w:rPr>
        <w:t>3、</w:t>
      </w:r>
      <w:r>
        <w:rPr>
          <w:rFonts w:hint="eastAsia"/>
          <w:sz w:val="24"/>
          <w:szCs w:val="24"/>
        </w:rPr>
        <w:t>所递交的材料需</w:t>
      </w:r>
      <w:r>
        <w:rPr>
          <w:rFonts w:hint="eastAsia"/>
          <w:sz w:val="24"/>
          <w:szCs w:val="24"/>
          <w:lang w:eastAsia="zh-CN"/>
        </w:rPr>
        <w:t>做</w:t>
      </w:r>
      <w:r>
        <w:rPr>
          <w:rFonts w:hint="eastAsia"/>
          <w:sz w:val="24"/>
          <w:szCs w:val="24"/>
        </w:rPr>
        <w:t>密封处理并在封口处加盖公章。</w:t>
      </w:r>
    </w:p>
    <w:p w14:paraId="5F27F085">
      <w:pPr>
        <w:keepNext w:val="0"/>
        <w:keepLines w:val="0"/>
        <w:pageBreakBefore w:val="0"/>
        <w:kinsoku/>
        <w:wordWrap/>
        <w:overflowPunct/>
        <w:topLinePunct w:val="0"/>
        <w:autoSpaceDE/>
        <w:autoSpaceDN/>
        <w:bidi w:val="0"/>
        <w:adjustRightInd/>
        <w:snapToGrid/>
        <w:spacing w:line="240" w:lineRule="auto"/>
        <w:textAlignment w:val="auto"/>
        <w:rPr>
          <w:rFonts w:hint="eastAsia"/>
          <w:sz w:val="24"/>
          <w:szCs w:val="24"/>
          <w:lang w:val="en-US" w:eastAsia="zh-CN"/>
        </w:rPr>
      </w:pPr>
      <w:r>
        <w:rPr>
          <w:rFonts w:hint="eastAsia"/>
          <w:sz w:val="24"/>
          <w:szCs w:val="24"/>
          <w:lang w:val="en-US" w:eastAsia="zh-CN"/>
        </w:rPr>
        <w:t>三</w:t>
      </w:r>
      <w:r>
        <w:rPr>
          <w:rFonts w:hint="eastAsia"/>
          <w:sz w:val="24"/>
          <w:szCs w:val="24"/>
        </w:rPr>
        <w:t>、</w:t>
      </w:r>
      <w:r>
        <w:rPr>
          <w:rFonts w:hint="eastAsia"/>
          <w:sz w:val="24"/>
          <w:szCs w:val="24"/>
          <w:lang w:val="en-US" w:eastAsia="zh-CN"/>
        </w:rPr>
        <w:t>服务内容：定制安装服务，详见本采购公告服务内容。</w:t>
      </w:r>
    </w:p>
    <w:p w14:paraId="11961B72">
      <w:pPr>
        <w:keepNext w:val="0"/>
        <w:keepLines w:val="0"/>
        <w:pageBreakBefore w:val="0"/>
        <w:kinsoku/>
        <w:wordWrap/>
        <w:overflowPunct/>
        <w:topLinePunct w:val="0"/>
        <w:autoSpaceDE/>
        <w:autoSpaceDN/>
        <w:bidi w:val="0"/>
        <w:adjustRightInd/>
        <w:snapToGrid/>
        <w:spacing w:line="240" w:lineRule="auto"/>
        <w:textAlignment w:val="auto"/>
        <w:rPr>
          <w:rFonts w:hint="eastAsia"/>
          <w:sz w:val="24"/>
          <w:szCs w:val="24"/>
          <w:lang w:val="en-US" w:eastAsia="zh-CN"/>
        </w:rPr>
      </w:pPr>
      <w:r>
        <w:rPr>
          <w:rFonts w:hint="eastAsia"/>
          <w:sz w:val="24"/>
          <w:szCs w:val="24"/>
          <w:lang w:val="en-US" w:eastAsia="zh-CN"/>
        </w:rPr>
        <w:t>四、盖章要求：所有提供材料需盖公章或骑缝章。</w:t>
      </w:r>
    </w:p>
    <w:p w14:paraId="31B1FD05">
      <w:pPr>
        <w:keepNext w:val="0"/>
        <w:keepLines w:val="0"/>
        <w:pageBreakBefore w:val="0"/>
        <w:kinsoku/>
        <w:wordWrap/>
        <w:overflowPunct/>
        <w:topLinePunct w:val="0"/>
        <w:autoSpaceDE/>
        <w:autoSpaceDN/>
        <w:bidi w:val="0"/>
        <w:adjustRightInd/>
        <w:snapToGrid/>
        <w:spacing w:line="240" w:lineRule="auto"/>
        <w:textAlignment w:val="auto"/>
        <w:rPr>
          <w:rFonts w:hint="eastAsia"/>
          <w:sz w:val="24"/>
          <w:szCs w:val="24"/>
          <w:lang w:val="en-US" w:eastAsia="zh-CN"/>
        </w:rPr>
      </w:pPr>
      <w:r>
        <w:rPr>
          <w:rFonts w:hint="eastAsia"/>
          <w:sz w:val="24"/>
          <w:szCs w:val="24"/>
          <w:lang w:val="en-US" w:eastAsia="zh-CN"/>
        </w:rPr>
        <w:t>五、报价要求：</w:t>
      </w:r>
    </w:p>
    <w:p w14:paraId="705034CA">
      <w:pPr>
        <w:keepNext w:val="0"/>
        <w:keepLines w:val="0"/>
        <w:pageBreakBefore w:val="0"/>
        <w:kinsoku/>
        <w:wordWrap/>
        <w:overflowPunct/>
        <w:topLinePunct w:val="0"/>
        <w:autoSpaceDE/>
        <w:autoSpaceDN/>
        <w:bidi w:val="0"/>
        <w:adjustRightInd/>
        <w:snapToGrid/>
        <w:spacing w:line="240" w:lineRule="auto"/>
        <w:textAlignment w:val="auto"/>
        <w:rPr>
          <w:rFonts w:hint="eastAsia"/>
          <w:color w:val="auto"/>
          <w:sz w:val="24"/>
          <w:szCs w:val="24"/>
          <w:lang w:val="en-US" w:eastAsia="zh-CN"/>
        </w:rPr>
      </w:pPr>
      <w:r>
        <w:rPr>
          <w:rFonts w:hint="eastAsia"/>
          <w:color w:val="auto"/>
          <w:sz w:val="24"/>
          <w:szCs w:val="24"/>
          <w:lang w:val="en-US" w:eastAsia="zh-CN"/>
        </w:rPr>
        <w:t>报价形式：按本公告附件报价函进行填写，有效报价范围：≤52653.93元。</w:t>
      </w:r>
    </w:p>
    <w:p w14:paraId="3340CBAD">
      <w:pPr>
        <w:keepNext w:val="0"/>
        <w:keepLines w:val="0"/>
        <w:pageBreakBefore w:val="0"/>
        <w:kinsoku/>
        <w:wordWrap/>
        <w:overflowPunct/>
        <w:topLinePunct w:val="0"/>
        <w:autoSpaceDE/>
        <w:autoSpaceDN/>
        <w:bidi w:val="0"/>
        <w:adjustRightInd/>
        <w:snapToGrid/>
        <w:spacing w:line="240" w:lineRule="auto"/>
        <w:textAlignment w:val="auto"/>
        <w:rPr>
          <w:rFonts w:hint="eastAsia"/>
          <w:color w:val="auto"/>
          <w:sz w:val="24"/>
          <w:szCs w:val="24"/>
          <w:lang w:val="en-US" w:eastAsia="zh-CN"/>
        </w:rPr>
      </w:pPr>
      <w:r>
        <w:rPr>
          <w:rFonts w:hint="eastAsia"/>
          <w:color w:val="auto"/>
          <w:sz w:val="24"/>
          <w:szCs w:val="24"/>
          <w:lang w:val="en-US" w:eastAsia="zh-CN"/>
        </w:rPr>
        <w:t>报价期限：在本公告发出之日起3个工作日内报价，并附资格要求相关资质材料，一式3份。</w:t>
      </w:r>
    </w:p>
    <w:p w14:paraId="41D565FB">
      <w:pPr>
        <w:keepNext w:val="0"/>
        <w:keepLines w:val="0"/>
        <w:pageBreakBefore w:val="0"/>
        <w:kinsoku/>
        <w:wordWrap/>
        <w:overflowPunct/>
        <w:topLinePunct w:val="0"/>
        <w:autoSpaceDE/>
        <w:autoSpaceDN/>
        <w:bidi w:val="0"/>
        <w:adjustRightInd/>
        <w:snapToGrid/>
        <w:spacing w:line="240" w:lineRule="auto"/>
        <w:textAlignment w:val="auto"/>
        <w:rPr>
          <w:rFonts w:hint="eastAsia"/>
          <w:color w:val="auto"/>
          <w:sz w:val="24"/>
          <w:szCs w:val="24"/>
          <w:lang w:val="en-US" w:eastAsia="zh-CN"/>
        </w:rPr>
      </w:pPr>
      <w:r>
        <w:rPr>
          <w:rFonts w:hint="eastAsia"/>
          <w:color w:val="auto"/>
          <w:sz w:val="24"/>
          <w:szCs w:val="24"/>
          <w:lang w:val="en-US" w:eastAsia="zh-CN"/>
        </w:rPr>
        <w:t>六、符合条件的供应商可在本公告规定时间内参加投标并提交报价和相关资料。</w:t>
      </w:r>
    </w:p>
    <w:p w14:paraId="7AD19754">
      <w:pPr>
        <w:keepNext w:val="0"/>
        <w:keepLines w:val="0"/>
        <w:pageBreakBefore w:val="0"/>
        <w:kinsoku/>
        <w:wordWrap/>
        <w:overflowPunct/>
        <w:topLinePunct w:val="0"/>
        <w:autoSpaceDE/>
        <w:autoSpaceDN/>
        <w:bidi w:val="0"/>
        <w:adjustRightInd/>
        <w:snapToGrid/>
        <w:spacing w:line="240" w:lineRule="auto"/>
        <w:textAlignment w:val="auto"/>
        <w:rPr>
          <w:rFonts w:hint="default"/>
          <w:color w:val="auto"/>
          <w:sz w:val="24"/>
          <w:szCs w:val="24"/>
          <w:lang w:val="en-US" w:eastAsia="zh-CN"/>
        </w:rPr>
      </w:pPr>
      <w:r>
        <w:rPr>
          <w:rFonts w:hint="eastAsia"/>
          <w:color w:val="auto"/>
          <w:sz w:val="24"/>
          <w:szCs w:val="24"/>
          <w:lang w:val="en-US" w:eastAsia="zh-CN"/>
        </w:rPr>
        <w:t>附件：1、南溪水乡党群服务中心24小时书吧氛围布设项目报价表</w:t>
      </w:r>
    </w:p>
    <w:p w14:paraId="29563534">
      <w:pPr>
        <w:keepNext w:val="0"/>
        <w:keepLines w:val="0"/>
        <w:pageBreakBefore w:val="0"/>
        <w:kinsoku/>
        <w:wordWrap/>
        <w:overflowPunct/>
        <w:topLinePunct w:val="0"/>
        <w:autoSpaceDE/>
        <w:autoSpaceDN/>
        <w:bidi w:val="0"/>
        <w:adjustRightInd/>
        <w:snapToGrid/>
        <w:spacing w:line="240" w:lineRule="auto"/>
        <w:ind w:firstLine="720" w:firstLineChars="300"/>
        <w:textAlignment w:val="auto"/>
        <w:rPr>
          <w:rFonts w:hint="default"/>
          <w:sz w:val="24"/>
          <w:szCs w:val="24"/>
          <w:lang w:val="en-US" w:eastAsia="zh-CN"/>
        </w:rPr>
      </w:pPr>
      <w:r>
        <w:rPr>
          <w:rFonts w:hint="eastAsia"/>
          <w:sz w:val="24"/>
          <w:szCs w:val="24"/>
          <w:lang w:val="en-US" w:eastAsia="zh-CN"/>
        </w:rPr>
        <w:t>2、</w:t>
      </w:r>
      <w:r>
        <w:rPr>
          <w:rFonts w:hint="eastAsia"/>
          <w:color w:val="auto"/>
          <w:sz w:val="24"/>
          <w:szCs w:val="24"/>
          <w:lang w:val="en-US" w:eastAsia="zh-CN"/>
        </w:rPr>
        <w:t>南溪水乡党群服务中心24小时书吧氛围布设项目效果图</w:t>
      </w:r>
    </w:p>
    <w:p w14:paraId="39D0DE89">
      <w:pPr>
        <w:keepNext w:val="0"/>
        <w:keepLines w:val="0"/>
        <w:pageBreakBefore w:val="0"/>
        <w:kinsoku/>
        <w:wordWrap/>
        <w:overflowPunct/>
        <w:topLinePunct w:val="0"/>
        <w:autoSpaceDE/>
        <w:autoSpaceDN/>
        <w:bidi w:val="0"/>
        <w:adjustRightInd/>
        <w:snapToGrid/>
        <w:spacing w:line="240" w:lineRule="auto"/>
        <w:jc w:val="right"/>
        <w:textAlignment w:val="auto"/>
        <w:rPr>
          <w:rFonts w:hint="eastAsia"/>
          <w:sz w:val="24"/>
          <w:szCs w:val="24"/>
          <w:lang w:val="en-US" w:eastAsia="zh-CN"/>
        </w:rPr>
      </w:pPr>
    </w:p>
    <w:p w14:paraId="4F47BC09">
      <w:pPr>
        <w:keepNext w:val="0"/>
        <w:keepLines w:val="0"/>
        <w:pageBreakBefore w:val="0"/>
        <w:kinsoku/>
        <w:wordWrap/>
        <w:overflowPunct/>
        <w:topLinePunct w:val="0"/>
        <w:autoSpaceDE/>
        <w:autoSpaceDN/>
        <w:bidi w:val="0"/>
        <w:adjustRightInd/>
        <w:snapToGrid/>
        <w:spacing w:line="240" w:lineRule="auto"/>
        <w:jc w:val="right"/>
        <w:textAlignment w:val="auto"/>
        <w:rPr>
          <w:rFonts w:hint="eastAsia"/>
          <w:sz w:val="24"/>
          <w:szCs w:val="24"/>
          <w:lang w:val="en-US" w:eastAsia="zh-CN"/>
        </w:rPr>
      </w:pPr>
    </w:p>
    <w:p w14:paraId="54AEC133">
      <w:pPr>
        <w:keepNext w:val="0"/>
        <w:keepLines w:val="0"/>
        <w:pageBreakBefore w:val="0"/>
        <w:kinsoku/>
        <w:wordWrap/>
        <w:overflowPunct/>
        <w:topLinePunct w:val="0"/>
        <w:autoSpaceDE/>
        <w:autoSpaceDN/>
        <w:bidi w:val="0"/>
        <w:adjustRightInd/>
        <w:snapToGrid/>
        <w:spacing w:line="240" w:lineRule="auto"/>
        <w:jc w:val="right"/>
        <w:textAlignment w:val="auto"/>
        <w:rPr>
          <w:rFonts w:hint="eastAsia"/>
          <w:sz w:val="24"/>
          <w:szCs w:val="24"/>
          <w:lang w:val="en-US" w:eastAsia="zh-CN"/>
        </w:rPr>
      </w:pPr>
    </w:p>
    <w:p w14:paraId="322D65B8">
      <w:pPr>
        <w:keepNext w:val="0"/>
        <w:keepLines w:val="0"/>
        <w:pageBreakBefore w:val="0"/>
        <w:kinsoku/>
        <w:wordWrap/>
        <w:overflowPunct/>
        <w:topLinePunct w:val="0"/>
        <w:autoSpaceDE/>
        <w:autoSpaceDN/>
        <w:bidi w:val="0"/>
        <w:adjustRightInd/>
        <w:snapToGrid/>
        <w:spacing w:line="240" w:lineRule="auto"/>
        <w:jc w:val="right"/>
        <w:textAlignment w:val="auto"/>
        <w:rPr>
          <w:rFonts w:hint="eastAsia" w:eastAsia="宋体"/>
          <w:sz w:val="24"/>
          <w:szCs w:val="24"/>
          <w:lang w:eastAsia="zh-CN"/>
        </w:rPr>
      </w:pPr>
      <w:r>
        <w:rPr>
          <w:rFonts w:hint="eastAsia"/>
          <w:sz w:val="24"/>
          <w:szCs w:val="24"/>
          <w:lang w:val="en-US" w:eastAsia="zh-CN"/>
        </w:rPr>
        <w:t>采购人：</w:t>
      </w:r>
      <w:r>
        <w:rPr>
          <w:rFonts w:hint="eastAsia"/>
          <w:sz w:val="24"/>
          <w:szCs w:val="24"/>
          <w:lang w:eastAsia="zh-CN"/>
        </w:rPr>
        <w:t>普宁市南溪镇人民政府</w:t>
      </w:r>
    </w:p>
    <w:p w14:paraId="1463800C">
      <w:pPr>
        <w:keepNext w:val="0"/>
        <w:keepLines w:val="0"/>
        <w:pageBreakBefore w:val="0"/>
        <w:kinsoku/>
        <w:wordWrap/>
        <w:overflowPunct/>
        <w:topLinePunct w:val="0"/>
        <w:autoSpaceDE/>
        <w:autoSpaceDN/>
        <w:bidi w:val="0"/>
        <w:adjustRightInd/>
        <w:snapToGrid/>
        <w:spacing w:line="240" w:lineRule="auto"/>
        <w:ind w:firstLine="6000" w:firstLineChars="2500"/>
        <w:jc w:val="left"/>
        <w:textAlignment w:val="auto"/>
        <w:rPr>
          <w:rFonts w:hint="eastAsia"/>
          <w:b/>
          <w:bCs/>
          <w:sz w:val="32"/>
          <w:szCs w:val="32"/>
          <w:lang w:eastAsia="zh-CN"/>
        </w:rPr>
      </w:pPr>
      <w:r>
        <w:rPr>
          <w:rFonts w:hint="eastAsia"/>
          <w:sz w:val="24"/>
          <w:szCs w:val="24"/>
          <w:lang w:val="en-US" w:eastAsia="zh-CN"/>
        </w:rPr>
        <w:t>2026年9月8日</w:t>
      </w:r>
    </w:p>
    <w:p w14:paraId="242B573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jc w:val="center"/>
        <w:textAlignment w:val="auto"/>
        <w:outlineLvl w:val="9"/>
        <w:rPr>
          <w:rFonts w:hint="eastAsia" w:ascii="仿宋" w:hAnsi="仿宋" w:eastAsia="仿宋" w:cs="仿宋"/>
          <w:b/>
          <w:bCs/>
          <w:sz w:val="40"/>
          <w:szCs w:val="40"/>
          <w:vertAlign w:val="baseline"/>
          <w:lang w:val="en-US" w:eastAsia="zh-CN"/>
        </w:rPr>
      </w:pPr>
    </w:p>
    <w:p w14:paraId="4457A08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jc w:val="center"/>
        <w:textAlignment w:val="auto"/>
        <w:outlineLvl w:val="9"/>
        <w:rPr>
          <w:rFonts w:hint="eastAsia" w:ascii="仿宋" w:hAnsi="仿宋" w:eastAsia="仿宋" w:cs="仿宋"/>
          <w:b/>
          <w:bCs/>
          <w:sz w:val="40"/>
          <w:szCs w:val="40"/>
          <w:vertAlign w:val="baseline"/>
          <w:lang w:val="en-US" w:eastAsia="zh-CN"/>
        </w:rPr>
      </w:pPr>
    </w:p>
    <w:p w14:paraId="77639B4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jc w:val="center"/>
        <w:textAlignment w:val="auto"/>
        <w:outlineLvl w:val="9"/>
        <w:rPr>
          <w:rFonts w:hint="eastAsia" w:ascii="仿宋" w:hAnsi="仿宋" w:eastAsia="仿宋" w:cs="仿宋"/>
          <w:b/>
          <w:bCs/>
          <w:sz w:val="40"/>
          <w:szCs w:val="40"/>
          <w:vertAlign w:val="baseline"/>
          <w:lang w:val="en-US" w:eastAsia="zh-CN"/>
        </w:rPr>
      </w:pPr>
      <w:bookmarkStart w:id="1" w:name="_GoBack"/>
      <w:bookmarkEnd w:id="1"/>
    </w:p>
    <w:p w14:paraId="16C8365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jc w:val="center"/>
        <w:textAlignment w:val="auto"/>
        <w:outlineLvl w:val="9"/>
        <w:rPr>
          <w:rFonts w:hint="eastAsia" w:ascii="仿宋" w:hAnsi="仿宋" w:eastAsia="仿宋" w:cs="仿宋"/>
          <w:b/>
          <w:bCs/>
          <w:sz w:val="40"/>
          <w:szCs w:val="40"/>
          <w:vertAlign w:val="baseline"/>
          <w:lang w:val="en-US" w:eastAsia="zh-CN"/>
        </w:rPr>
      </w:pPr>
      <w:r>
        <w:rPr>
          <w:rFonts w:hint="eastAsia" w:ascii="仿宋" w:hAnsi="仿宋" w:eastAsia="仿宋" w:cs="仿宋"/>
          <w:b/>
          <w:bCs/>
          <w:sz w:val="40"/>
          <w:szCs w:val="40"/>
          <w:vertAlign w:val="baseline"/>
          <w:lang w:val="en-US" w:eastAsia="zh-CN"/>
        </w:rPr>
        <w:t>南溪水乡党群服务中心24小时书吧氛围布设项目</w:t>
      </w:r>
    </w:p>
    <w:p w14:paraId="0314F8A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jc w:val="center"/>
        <w:textAlignment w:val="auto"/>
        <w:outlineLvl w:val="9"/>
        <w:rPr>
          <w:rFonts w:hint="eastAsia" w:ascii="仿宋" w:hAnsi="仿宋" w:eastAsia="仿宋" w:cs="仿宋"/>
          <w:b/>
          <w:bCs/>
          <w:sz w:val="44"/>
          <w:szCs w:val="44"/>
          <w:vertAlign w:val="baseline"/>
          <w:lang w:val="en-US" w:eastAsia="zh-CN"/>
        </w:rPr>
      </w:pPr>
      <w:r>
        <w:rPr>
          <w:rFonts w:hint="eastAsia" w:ascii="仿宋" w:hAnsi="仿宋" w:eastAsia="仿宋" w:cs="仿宋"/>
          <w:b/>
          <w:bCs/>
          <w:sz w:val="44"/>
          <w:szCs w:val="44"/>
          <w:vertAlign w:val="baseline"/>
          <w:lang w:val="en-US" w:eastAsia="zh-CN"/>
        </w:rPr>
        <w:t>拟采购服务内容总预算价格明细表</w:t>
      </w:r>
      <w:bookmarkStart w:id="0" w:name="OLE_LINK15"/>
    </w:p>
    <w:p w14:paraId="50C85C78">
      <w:pPr>
        <w:pStyle w:val="7"/>
        <w:rPr>
          <w:rFonts w:hint="default"/>
          <w:lang w:val="en-US" w:eastAsia="zh-CN"/>
        </w:rPr>
      </w:pPr>
    </w:p>
    <w:bookmarkEnd w:id="0"/>
    <w:tbl>
      <w:tblPr>
        <w:tblStyle w:val="11"/>
        <w:tblW w:w="89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51"/>
        <w:gridCol w:w="1266"/>
        <w:gridCol w:w="4333"/>
        <w:gridCol w:w="572"/>
        <w:gridCol w:w="585"/>
        <w:gridCol w:w="735"/>
        <w:gridCol w:w="740"/>
      </w:tblGrid>
      <w:tr w14:paraId="203D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1" w:type="dxa"/>
            <w:shd w:val="clear" w:color="auto" w:fill="auto"/>
            <w:vAlign w:val="center"/>
          </w:tcPr>
          <w:p w14:paraId="2183A88E">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序号</w:t>
            </w:r>
          </w:p>
        </w:tc>
        <w:tc>
          <w:tcPr>
            <w:tcW w:w="1266" w:type="dxa"/>
            <w:shd w:val="clear" w:color="auto" w:fill="auto"/>
            <w:vAlign w:val="center"/>
          </w:tcPr>
          <w:p w14:paraId="3EE07FA9">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货物名称</w:t>
            </w:r>
          </w:p>
        </w:tc>
        <w:tc>
          <w:tcPr>
            <w:tcW w:w="4333" w:type="dxa"/>
            <w:shd w:val="clear" w:color="auto" w:fill="auto"/>
            <w:noWrap/>
            <w:vAlign w:val="center"/>
          </w:tcPr>
          <w:p w14:paraId="0C74734E">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lang w:val="en-US"/>
              </w:rPr>
            </w:pPr>
            <w:r>
              <w:rPr>
                <w:rFonts w:hint="eastAsia" w:ascii="仿宋" w:hAnsi="仿宋" w:eastAsia="仿宋" w:cs="仿宋"/>
                <w:b/>
                <w:bCs/>
                <w:i w:val="0"/>
                <w:iCs w:val="0"/>
                <w:color w:val="000000"/>
                <w:kern w:val="0"/>
                <w:sz w:val="24"/>
                <w:szCs w:val="24"/>
                <w:u w:val="none"/>
                <w:lang w:val="en-US" w:eastAsia="zh-CN" w:bidi="ar"/>
              </w:rPr>
              <w:t>技术参数及要求</w:t>
            </w:r>
          </w:p>
        </w:tc>
        <w:tc>
          <w:tcPr>
            <w:tcW w:w="572" w:type="dxa"/>
            <w:shd w:val="clear" w:color="auto" w:fill="auto"/>
            <w:noWrap/>
            <w:vAlign w:val="center"/>
          </w:tcPr>
          <w:p w14:paraId="3BABBE6E">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w:t>
            </w:r>
          </w:p>
        </w:tc>
        <w:tc>
          <w:tcPr>
            <w:tcW w:w="585" w:type="dxa"/>
            <w:shd w:val="clear" w:color="auto" w:fill="auto"/>
            <w:noWrap/>
            <w:vAlign w:val="center"/>
          </w:tcPr>
          <w:p w14:paraId="1DA7B0B2">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单位</w:t>
            </w:r>
          </w:p>
        </w:tc>
        <w:tc>
          <w:tcPr>
            <w:tcW w:w="735" w:type="dxa"/>
            <w:shd w:val="clear" w:color="auto" w:fill="auto"/>
            <w:noWrap/>
            <w:vAlign w:val="center"/>
          </w:tcPr>
          <w:p w14:paraId="2FFEA298">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单价/元</w:t>
            </w:r>
          </w:p>
        </w:tc>
        <w:tc>
          <w:tcPr>
            <w:tcW w:w="740" w:type="dxa"/>
            <w:shd w:val="clear" w:color="auto" w:fill="auto"/>
            <w:noWrap/>
            <w:vAlign w:val="center"/>
          </w:tcPr>
          <w:p w14:paraId="11933AF6">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小计/元</w:t>
            </w:r>
          </w:p>
        </w:tc>
      </w:tr>
      <w:tr w14:paraId="4E3D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1" w:type="dxa"/>
            <w:shd w:val="clear" w:color="auto" w:fill="auto"/>
            <w:vAlign w:val="center"/>
          </w:tcPr>
          <w:p w14:paraId="279CCB3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266" w:type="dxa"/>
            <w:shd w:val="clear" w:color="auto" w:fill="auto"/>
            <w:vAlign w:val="center"/>
          </w:tcPr>
          <w:p w14:paraId="216E7B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楼梯间文化墙</w:t>
            </w:r>
          </w:p>
        </w:tc>
        <w:tc>
          <w:tcPr>
            <w:tcW w:w="4333" w:type="dxa"/>
            <w:shd w:val="clear" w:color="auto" w:fill="auto"/>
            <w:vAlign w:val="center"/>
          </w:tcPr>
          <w:p w14:paraId="549141D7">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1、造型部分尺寸628×450cm+封板部分尺寸427×122cm；</w:t>
            </w:r>
          </w:p>
          <w:p w14:paraId="28BF1A3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2、底部做墙面封板+补胶批灰+刷白。整体墙面拆除墙面旧广告+刷白，整体做7mm厚PVC板uv+侧边打印+覆肤感膜，标题文字做8mm厚亚克力烤漆字。</w:t>
            </w:r>
          </w:p>
        </w:tc>
        <w:tc>
          <w:tcPr>
            <w:tcW w:w="572" w:type="dxa"/>
            <w:shd w:val="clear" w:color="auto" w:fill="auto"/>
            <w:vAlign w:val="center"/>
          </w:tcPr>
          <w:p w14:paraId="0D24DC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85" w:type="dxa"/>
            <w:shd w:val="clear" w:color="auto" w:fill="auto"/>
            <w:vAlign w:val="center"/>
          </w:tcPr>
          <w:p w14:paraId="57A6408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c>
          <w:tcPr>
            <w:tcW w:w="735" w:type="dxa"/>
            <w:shd w:val="clear" w:color="auto" w:fill="auto"/>
            <w:vAlign w:val="center"/>
          </w:tcPr>
          <w:p w14:paraId="3C2735E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40" w:type="dxa"/>
            <w:shd w:val="clear" w:color="auto" w:fill="auto"/>
            <w:vAlign w:val="center"/>
          </w:tcPr>
          <w:p w14:paraId="6DC9DFD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CDC5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1" w:type="dxa"/>
            <w:shd w:val="clear" w:color="auto" w:fill="auto"/>
            <w:vAlign w:val="center"/>
          </w:tcPr>
          <w:p w14:paraId="58AF04B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266" w:type="dxa"/>
            <w:shd w:val="clear" w:color="auto" w:fill="auto"/>
            <w:vAlign w:val="center"/>
          </w:tcPr>
          <w:p w14:paraId="5C5961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指引造型墙</w:t>
            </w:r>
          </w:p>
        </w:tc>
        <w:tc>
          <w:tcPr>
            <w:tcW w:w="4333" w:type="dxa"/>
            <w:shd w:val="clear" w:color="auto" w:fill="auto"/>
            <w:vAlign w:val="center"/>
          </w:tcPr>
          <w:p w14:paraId="62389797">
            <w:pPr>
              <w:keepNext w:val="0"/>
              <w:keepLines w:val="0"/>
              <w:widowControl/>
              <w:numPr>
                <w:ilvl w:val="0"/>
                <w:numId w:val="2"/>
              </w:numPr>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墙面尺寸77×331cm；</w:t>
            </w:r>
          </w:p>
          <w:p w14:paraId="019E1D2C">
            <w:pPr>
              <w:keepNext w:val="0"/>
              <w:keepLines w:val="0"/>
              <w:widowControl/>
              <w:numPr>
                <w:ilvl w:val="0"/>
                <w:numId w:val="0"/>
              </w:numPr>
              <w:suppressLineNumbers w:val="0"/>
              <w:ind w:left="0" w:lef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2、整体做7mm厚PVC板uv+侧边打印+覆肤感膜，部分文字做8mm厚亚克力烤漆字。</w:t>
            </w:r>
          </w:p>
        </w:tc>
        <w:tc>
          <w:tcPr>
            <w:tcW w:w="572" w:type="dxa"/>
            <w:shd w:val="clear" w:color="auto" w:fill="auto"/>
            <w:vAlign w:val="center"/>
          </w:tcPr>
          <w:p w14:paraId="506065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85" w:type="dxa"/>
            <w:shd w:val="clear" w:color="auto" w:fill="auto"/>
            <w:vAlign w:val="center"/>
          </w:tcPr>
          <w:p w14:paraId="411C96F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c>
          <w:tcPr>
            <w:tcW w:w="735" w:type="dxa"/>
            <w:shd w:val="clear" w:color="auto" w:fill="auto"/>
            <w:vAlign w:val="center"/>
          </w:tcPr>
          <w:p w14:paraId="47E4405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40" w:type="dxa"/>
            <w:shd w:val="clear" w:color="auto" w:fill="auto"/>
            <w:vAlign w:val="center"/>
          </w:tcPr>
          <w:p w14:paraId="12B33AE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92F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1" w:type="dxa"/>
            <w:shd w:val="clear" w:color="auto" w:fill="auto"/>
            <w:vAlign w:val="center"/>
          </w:tcPr>
          <w:p w14:paraId="62168E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1266" w:type="dxa"/>
            <w:shd w:val="clear" w:color="auto" w:fill="auto"/>
            <w:vAlign w:val="center"/>
          </w:tcPr>
          <w:p w14:paraId="07A2F2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不锈钢牌匾</w:t>
            </w:r>
          </w:p>
        </w:tc>
        <w:tc>
          <w:tcPr>
            <w:tcW w:w="4333" w:type="dxa"/>
            <w:shd w:val="clear" w:color="auto" w:fill="auto"/>
            <w:vAlign w:val="center"/>
          </w:tcPr>
          <w:p w14:paraId="37490C2E">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1、60×40cm；</w:t>
            </w:r>
          </w:p>
          <w:p w14:paraId="7B90066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2、不锈钢牌匾画面腐蚀+折边3cm。</w:t>
            </w:r>
          </w:p>
        </w:tc>
        <w:tc>
          <w:tcPr>
            <w:tcW w:w="572" w:type="dxa"/>
            <w:shd w:val="clear" w:color="auto" w:fill="auto"/>
            <w:vAlign w:val="center"/>
          </w:tcPr>
          <w:p w14:paraId="585792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85" w:type="dxa"/>
            <w:shd w:val="clear" w:color="auto" w:fill="auto"/>
            <w:vAlign w:val="center"/>
          </w:tcPr>
          <w:p w14:paraId="781FB16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c>
          <w:tcPr>
            <w:tcW w:w="735" w:type="dxa"/>
            <w:shd w:val="clear" w:color="auto" w:fill="auto"/>
            <w:vAlign w:val="center"/>
          </w:tcPr>
          <w:p w14:paraId="384A79E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40" w:type="dxa"/>
            <w:shd w:val="clear" w:color="auto" w:fill="auto"/>
            <w:vAlign w:val="center"/>
          </w:tcPr>
          <w:p w14:paraId="68ED10F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4DB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1" w:type="dxa"/>
            <w:shd w:val="clear" w:color="auto" w:fill="auto"/>
            <w:vAlign w:val="center"/>
          </w:tcPr>
          <w:p w14:paraId="317A17E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1266" w:type="dxa"/>
            <w:shd w:val="clear" w:color="auto" w:fill="auto"/>
            <w:vAlign w:val="center"/>
          </w:tcPr>
          <w:p w14:paraId="30112E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定制24小时书吧背景墙</w:t>
            </w:r>
          </w:p>
        </w:tc>
        <w:tc>
          <w:tcPr>
            <w:tcW w:w="4333" w:type="dxa"/>
            <w:shd w:val="clear" w:color="auto" w:fill="auto"/>
            <w:vAlign w:val="center"/>
          </w:tcPr>
          <w:p w14:paraId="4163F1E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1、墙面尺寸701×322cm；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2、正面拆除墙面旧广告+部分射灯，部分封板+补胶，整体墙面批灰+打磨+刷基膜，墙体正面+侧面旧造型贴墙布。</w:t>
            </w:r>
          </w:p>
        </w:tc>
        <w:tc>
          <w:tcPr>
            <w:tcW w:w="572" w:type="dxa"/>
            <w:shd w:val="clear" w:color="auto" w:fill="auto"/>
            <w:vAlign w:val="center"/>
          </w:tcPr>
          <w:p w14:paraId="478413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85" w:type="dxa"/>
            <w:shd w:val="clear" w:color="auto" w:fill="auto"/>
            <w:vAlign w:val="center"/>
          </w:tcPr>
          <w:p w14:paraId="4F68E3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c>
          <w:tcPr>
            <w:tcW w:w="735" w:type="dxa"/>
            <w:shd w:val="clear" w:color="auto" w:fill="auto"/>
            <w:vAlign w:val="center"/>
          </w:tcPr>
          <w:p w14:paraId="4DEFA18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40" w:type="dxa"/>
            <w:shd w:val="clear" w:color="auto" w:fill="auto"/>
            <w:vAlign w:val="center"/>
          </w:tcPr>
          <w:p w14:paraId="3599A02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BB37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1" w:type="dxa"/>
            <w:shd w:val="clear" w:color="auto" w:fill="auto"/>
            <w:vAlign w:val="center"/>
          </w:tcPr>
          <w:p w14:paraId="6410A97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1266" w:type="dxa"/>
            <w:shd w:val="clear" w:color="auto" w:fill="auto"/>
            <w:vAlign w:val="center"/>
          </w:tcPr>
          <w:p w14:paraId="74BEAD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定制24小时书吧背景文化造型</w:t>
            </w:r>
          </w:p>
        </w:tc>
        <w:tc>
          <w:tcPr>
            <w:tcW w:w="4333" w:type="dxa"/>
            <w:shd w:val="clear" w:color="auto" w:fill="auto"/>
            <w:vAlign w:val="center"/>
          </w:tcPr>
          <w:p w14:paraId="1B263A29">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1、柜子整体高度321cm；</w:t>
            </w:r>
          </w:p>
          <w:p w14:paraId="3BE4A99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2、厚度18mm多层板表面烤漆+柜子内开槽+藏灯带+电源开关，部分做软膜灯箱，底部做柜门+内置反弹器。</w:t>
            </w:r>
          </w:p>
        </w:tc>
        <w:tc>
          <w:tcPr>
            <w:tcW w:w="572" w:type="dxa"/>
            <w:shd w:val="clear" w:color="auto" w:fill="auto"/>
            <w:vAlign w:val="center"/>
          </w:tcPr>
          <w:p w14:paraId="568DAE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85" w:type="dxa"/>
            <w:shd w:val="clear" w:color="auto" w:fill="auto"/>
            <w:vAlign w:val="center"/>
          </w:tcPr>
          <w:p w14:paraId="325ECD2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c>
          <w:tcPr>
            <w:tcW w:w="735" w:type="dxa"/>
            <w:shd w:val="clear" w:color="auto" w:fill="auto"/>
            <w:vAlign w:val="center"/>
          </w:tcPr>
          <w:p w14:paraId="782F1CF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40" w:type="dxa"/>
            <w:shd w:val="clear" w:color="auto" w:fill="auto"/>
            <w:vAlign w:val="center"/>
          </w:tcPr>
          <w:p w14:paraId="510C9CF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1DF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1" w:type="dxa"/>
            <w:shd w:val="clear" w:color="auto" w:fill="auto"/>
            <w:vAlign w:val="center"/>
          </w:tcPr>
          <w:p w14:paraId="57EC773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w:t>
            </w:r>
          </w:p>
        </w:tc>
        <w:tc>
          <w:tcPr>
            <w:tcW w:w="1266" w:type="dxa"/>
            <w:shd w:val="clear" w:color="auto" w:fill="auto"/>
            <w:vAlign w:val="center"/>
          </w:tcPr>
          <w:p w14:paraId="4E9C89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矮凳</w:t>
            </w:r>
          </w:p>
        </w:tc>
        <w:tc>
          <w:tcPr>
            <w:tcW w:w="4333" w:type="dxa"/>
            <w:shd w:val="clear" w:color="auto" w:fill="auto"/>
            <w:vAlign w:val="center"/>
          </w:tcPr>
          <w:p w14:paraId="1FC5D48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1、长200×高40×侧边宽40cm；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2、整体做18mm厚免漆板+圆形坐垫×4。</w:t>
            </w:r>
          </w:p>
        </w:tc>
        <w:tc>
          <w:tcPr>
            <w:tcW w:w="572" w:type="dxa"/>
            <w:shd w:val="clear" w:color="auto" w:fill="auto"/>
            <w:vAlign w:val="center"/>
          </w:tcPr>
          <w:p w14:paraId="6E6C43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85" w:type="dxa"/>
            <w:shd w:val="clear" w:color="auto" w:fill="auto"/>
            <w:vAlign w:val="center"/>
          </w:tcPr>
          <w:p w14:paraId="79B93C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c>
          <w:tcPr>
            <w:tcW w:w="735" w:type="dxa"/>
            <w:shd w:val="clear" w:color="auto" w:fill="auto"/>
            <w:vAlign w:val="center"/>
          </w:tcPr>
          <w:p w14:paraId="11A0AA9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40" w:type="dxa"/>
            <w:shd w:val="clear" w:color="auto" w:fill="auto"/>
            <w:vAlign w:val="center"/>
          </w:tcPr>
          <w:p w14:paraId="3AB37F9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AB3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1" w:type="dxa"/>
            <w:shd w:val="clear" w:color="auto" w:fill="auto"/>
            <w:vAlign w:val="center"/>
          </w:tcPr>
          <w:p w14:paraId="65790E8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1266" w:type="dxa"/>
            <w:shd w:val="clear" w:color="auto" w:fill="auto"/>
            <w:vAlign w:val="center"/>
          </w:tcPr>
          <w:p w14:paraId="3B2383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通道闸机</w:t>
            </w:r>
          </w:p>
        </w:tc>
        <w:tc>
          <w:tcPr>
            <w:tcW w:w="4333" w:type="dxa"/>
            <w:shd w:val="clear" w:color="auto" w:fill="auto"/>
            <w:vAlign w:val="center"/>
          </w:tcPr>
          <w:p w14:paraId="267CA42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1、款式：方柱小摆闸（单机芯）；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2、单闸机尺寸：长16×宽28×高105cm；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3、设备材质：国标不锈钢；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4、工作电源：AC170V-AC220V；</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5、内置指纹机+身份证阅读机+感应开门，配套开关+电源+控制器+网线，地面锁螺丝安装。</w:t>
            </w:r>
          </w:p>
        </w:tc>
        <w:tc>
          <w:tcPr>
            <w:tcW w:w="572" w:type="dxa"/>
            <w:shd w:val="clear" w:color="auto" w:fill="auto"/>
            <w:vAlign w:val="center"/>
          </w:tcPr>
          <w:p w14:paraId="379A43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85" w:type="dxa"/>
            <w:shd w:val="clear" w:color="auto" w:fill="auto"/>
            <w:vAlign w:val="center"/>
          </w:tcPr>
          <w:p w14:paraId="0F60276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c>
          <w:tcPr>
            <w:tcW w:w="735" w:type="dxa"/>
            <w:shd w:val="clear" w:color="auto" w:fill="auto"/>
            <w:vAlign w:val="center"/>
          </w:tcPr>
          <w:p w14:paraId="4A4E0B9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40" w:type="dxa"/>
            <w:shd w:val="clear" w:color="auto" w:fill="auto"/>
            <w:vAlign w:val="center"/>
          </w:tcPr>
          <w:p w14:paraId="22FC7C5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bl>
    <w:p w14:paraId="7AB4F449">
      <w:pPr>
        <w:pStyle w:val="7"/>
        <w:rPr>
          <w:rFonts w:hint="default" w:ascii="仿宋" w:hAnsi="仿宋" w:eastAsia="仿宋" w:cs="仿宋"/>
          <w:sz w:val="24"/>
          <w:szCs w:val="24"/>
          <w:lang w:val="en-US" w:eastAsia="zh-CN"/>
        </w:rPr>
      </w:pPr>
    </w:p>
    <w:p w14:paraId="3CC9271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sz w:val="28"/>
          <w:szCs w:val="28"/>
          <w:lang w:val="en-US" w:eastAsia="zh-CN"/>
        </w:rPr>
      </w:pPr>
    </w:p>
    <w:p w14:paraId="135FB257">
      <w:pPr>
        <w:rPr>
          <w:rFonts w:hint="eastAsia" w:ascii="仿宋" w:hAnsi="仿宋" w:eastAsia="仿宋" w:cs="仿宋"/>
          <w:b/>
          <w:bCs/>
          <w:sz w:val="40"/>
          <w:szCs w:val="40"/>
          <w:lang w:val="en-US" w:eastAsia="zh-CN"/>
        </w:rPr>
      </w:pPr>
      <w:r>
        <w:rPr>
          <w:rFonts w:hint="eastAsia" w:ascii="仿宋" w:hAnsi="仿宋" w:eastAsia="仿宋" w:cs="仿宋"/>
          <w:b/>
          <w:bCs/>
          <w:sz w:val="40"/>
          <w:szCs w:val="40"/>
          <w:lang w:val="en-US" w:eastAsia="zh-CN"/>
        </w:rPr>
        <w:br w:type="page"/>
      </w:r>
    </w:p>
    <w:p w14:paraId="43201DEB">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b/>
          <w:bCs/>
          <w:sz w:val="40"/>
          <w:szCs w:val="40"/>
          <w:lang w:val="en-US" w:eastAsia="zh-CN"/>
        </w:rPr>
      </w:pPr>
      <w:r>
        <w:rPr>
          <w:rFonts w:hint="eastAsia" w:ascii="仿宋" w:hAnsi="仿宋" w:eastAsia="仿宋" w:cs="仿宋"/>
          <w:b/>
          <w:bCs/>
          <w:sz w:val="40"/>
          <w:szCs w:val="40"/>
          <w:lang w:val="en-US" w:eastAsia="zh-CN"/>
        </w:rPr>
        <w:t>南溪水乡党群服务中心24小时书吧氛围布设项目</w:t>
      </w:r>
    </w:p>
    <w:p w14:paraId="6EC81D0E">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效果图</w:t>
      </w:r>
    </w:p>
    <w:tbl>
      <w:tblPr>
        <w:tblStyle w:val="11"/>
        <w:tblW w:w="93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1"/>
        <w:gridCol w:w="8601"/>
      </w:tblGrid>
      <w:tr w14:paraId="3FCC5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1" w:type="dxa"/>
            <w:tcBorders>
              <w:top w:val="single" w:color="000000" w:sz="4" w:space="0"/>
              <w:left w:val="single" w:color="000000" w:sz="4" w:space="0"/>
              <w:bottom w:val="single" w:color="000000" w:sz="4" w:space="0"/>
              <w:right w:val="single" w:color="000000" w:sz="4" w:space="0"/>
            </w:tcBorders>
            <w:noWrap w:val="0"/>
            <w:vAlign w:val="center"/>
          </w:tcPr>
          <w:p w14:paraId="65660BC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w:t>
            </w:r>
          </w:p>
        </w:tc>
        <w:tc>
          <w:tcPr>
            <w:tcW w:w="8601" w:type="dxa"/>
            <w:tcBorders>
              <w:top w:val="single" w:color="000000" w:sz="4" w:space="0"/>
              <w:left w:val="single" w:color="000000" w:sz="4" w:space="0"/>
              <w:bottom w:val="single" w:color="000000" w:sz="4" w:space="0"/>
              <w:right w:val="single" w:color="000000" w:sz="4" w:space="0"/>
            </w:tcBorders>
            <w:noWrap w:val="0"/>
            <w:vAlign w:val="center"/>
          </w:tcPr>
          <w:p w14:paraId="0E6ACB2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b/>
                <w:bCs/>
                <w:i w:val="0"/>
                <w:iCs w:val="0"/>
                <w:color w:val="000000"/>
                <w:sz w:val="24"/>
                <w:szCs w:val="24"/>
                <w:u w:val="none"/>
                <w:lang w:val="en-US"/>
              </w:rPr>
            </w:pPr>
            <w:r>
              <w:rPr>
                <w:rFonts w:hint="default" w:ascii="仿宋" w:hAnsi="仿宋" w:eastAsia="仿宋" w:cs="仿宋"/>
                <w:b/>
                <w:bCs/>
                <w:i w:val="0"/>
                <w:iCs w:val="0"/>
                <w:color w:val="000000"/>
                <w:sz w:val="24"/>
                <w:szCs w:val="24"/>
                <w:u w:val="none"/>
                <w:lang w:val="en-US" w:eastAsia="zh-CN"/>
              </w:rPr>
              <w:t>楼梯间文化墙</w:t>
            </w:r>
          </w:p>
        </w:tc>
      </w:tr>
      <w:tr w14:paraId="29D00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332" w:type="dxa"/>
            <w:gridSpan w:val="2"/>
            <w:tcBorders>
              <w:top w:val="single" w:color="000000" w:sz="4" w:space="0"/>
              <w:left w:val="single" w:color="000000" w:sz="4" w:space="0"/>
              <w:bottom w:val="single" w:color="000000" w:sz="4" w:space="0"/>
              <w:right w:val="single" w:color="000000" w:sz="4" w:space="0"/>
            </w:tcBorders>
            <w:noWrap w:val="0"/>
            <w:vAlign w:val="center"/>
          </w:tcPr>
          <w:p w14:paraId="7C1FCD6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lang w:val="en-US" w:eastAsia="zh-CN"/>
              </w:rPr>
            </w:pPr>
            <w:r>
              <w:drawing>
                <wp:inline distT="0" distB="0" distL="114300" distR="114300">
                  <wp:extent cx="5779135" cy="3883025"/>
                  <wp:effectExtent l="0" t="0" r="12065" b="317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5"/>
                          <a:stretch>
                            <a:fillRect/>
                          </a:stretch>
                        </pic:blipFill>
                        <pic:spPr>
                          <a:xfrm>
                            <a:off x="0" y="0"/>
                            <a:ext cx="5779135" cy="3883025"/>
                          </a:xfrm>
                          <a:prstGeom prst="rect">
                            <a:avLst/>
                          </a:prstGeom>
                          <a:noFill/>
                          <a:ln>
                            <a:noFill/>
                          </a:ln>
                        </pic:spPr>
                      </pic:pic>
                    </a:graphicData>
                  </a:graphic>
                </wp:inline>
              </w:drawing>
            </w:r>
          </w:p>
        </w:tc>
      </w:tr>
      <w:tr w14:paraId="04972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1" w:type="dxa"/>
            <w:tcBorders>
              <w:top w:val="single" w:color="000000" w:sz="4" w:space="0"/>
              <w:left w:val="single" w:color="000000" w:sz="4" w:space="0"/>
              <w:bottom w:val="single" w:color="000000" w:sz="4" w:space="0"/>
              <w:right w:val="single" w:color="000000" w:sz="4" w:space="0"/>
            </w:tcBorders>
            <w:noWrap w:val="0"/>
            <w:vAlign w:val="center"/>
          </w:tcPr>
          <w:p w14:paraId="7E3E857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w:t>
            </w:r>
          </w:p>
        </w:tc>
        <w:tc>
          <w:tcPr>
            <w:tcW w:w="8601" w:type="dxa"/>
            <w:tcBorders>
              <w:top w:val="single" w:color="000000" w:sz="4" w:space="0"/>
              <w:left w:val="single" w:color="000000" w:sz="4" w:space="0"/>
              <w:bottom w:val="single" w:color="000000" w:sz="4" w:space="0"/>
              <w:right w:val="single" w:color="000000" w:sz="4" w:space="0"/>
            </w:tcBorders>
            <w:noWrap w:val="0"/>
            <w:vAlign w:val="center"/>
          </w:tcPr>
          <w:p w14:paraId="0AFD670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指引造型墙</w:t>
            </w:r>
          </w:p>
        </w:tc>
      </w:tr>
      <w:tr w14:paraId="377E0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332" w:type="dxa"/>
            <w:gridSpan w:val="2"/>
            <w:tcBorders>
              <w:top w:val="single" w:color="000000" w:sz="4" w:space="0"/>
              <w:left w:val="single" w:color="000000" w:sz="4" w:space="0"/>
              <w:bottom w:val="single" w:color="000000" w:sz="4" w:space="0"/>
              <w:right w:val="single" w:color="000000" w:sz="4" w:space="0"/>
            </w:tcBorders>
            <w:noWrap w:val="0"/>
            <w:vAlign w:val="center"/>
          </w:tcPr>
          <w:p w14:paraId="2EE01EA3">
            <w:pPr>
              <w:pStyle w:val="7"/>
              <w:jc w:val="center"/>
              <w:rPr>
                <w:rFonts w:hint="eastAsia"/>
                <w:lang w:val="en-US" w:eastAsia="zh-CN"/>
              </w:rPr>
            </w:pPr>
            <w:r>
              <w:rPr>
                <w:rFonts w:hint="eastAsia"/>
                <w:lang w:val="en-US" w:eastAsia="zh-CN"/>
              </w:rPr>
              <w:drawing>
                <wp:anchor distT="0" distB="0" distL="114300" distR="114300" simplePos="0" relativeHeight="251659264" behindDoc="0" locked="0" layoutInCell="1" allowOverlap="1">
                  <wp:simplePos x="0" y="0"/>
                  <wp:positionH relativeFrom="column">
                    <wp:posOffset>1036955</wp:posOffset>
                  </wp:positionH>
                  <wp:positionV relativeFrom="paragraph">
                    <wp:posOffset>-6672580</wp:posOffset>
                  </wp:positionV>
                  <wp:extent cx="3714750" cy="6924675"/>
                  <wp:effectExtent l="0" t="0" r="0" b="9525"/>
                  <wp:wrapSquare wrapText="bothSides"/>
                  <wp:docPr id="7" name="图片 2" descr="856414d9c5cda88acf8cabf3f60725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856414d9c5cda88acf8cabf3f60725ac"/>
                          <pic:cNvPicPr>
                            <a:picLocks noChangeAspect="1"/>
                          </pic:cNvPicPr>
                        </pic:nvPicPr>
                        <pic:blipFill>
                          <a:blip r:embed="rId6"/>
                          <a:stretch>
                            <a:fillRect/>
                          </a:stretch>
                        </pic:blipFill>
                        <pic:spPr>
                          <a:xfrm>
                            <a:off x="0" y="0"/>
                            <a:ext cx="3714750" cy="6924675"/>
                          </a:xfrm>
                          <a:prstGeom prst="rect">
                            <a:avLst/>
                          </a:prstGeom>
                          <a:noFill/>
                          <a:ln>
                            <a:noFill/>
                          </a:ln>
                        </pic:spPr>
                      </pic:pic>
                    </a:graphicData>
                  </a:graphic>
                </wp:anchor>
              </w:drawing>
            </w:r>
          </w:p>
        </w:tc>
      </w:tr>
      <w:tr w14:paraId="2E6F6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1" w:type="dxa"/>
            <w:tcBorders>
              <w:top w:val="single" w:color="000000" w:sz="4" w:space="0"/>
              <w:left w:val="single" w:color="000000" w:sz="4" w:space="0"/>
              <w:bottom w:val="single" w:color="000000" w:sz="4" w:space="0"/>
              <w:right w:val="single" w:color="000000" w:sz="4" w:space="0"/>
            </w:tcBorders>
            <w:noWrap w:val="0"/>
            <w:vAlign w:val="center"/>
          </w:tcPr>
          <w:p w14:paraId="23DB79F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3</w:t>
            </w:r>
          </w:p>
        </w:tc>
        <w:tc>
          <w:tcPr>
            <w:tcW w:w="8601" w:type="dxa"/>
            <w:tcBorders>
              <w:top w:val="single" w:color="000000" w:sz="4" w:space="0"/>
              <w:left w:val="single" w:color="000000" w:sz="4" w:space="0"/>
              <w:bottom w:val="single" w:color="000000" w:sz="4" w:space="0"/>
              <w:right w:val="single" w:color="000000" w:sz="4" w:space="0"/>
            </w:tcBorders>
            <w:noWrap w:val="0"/>
            <w:vAlign w:val="center"/>
          </w:tcPr>
          <w:p w14:paraId="1FCCA06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不锈钢牌匾</w:t>
            </w:r>
          </w:p>
        </w:tc>
      </w:tr>
      <w:tr w14:paraId="486E4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332" w:type="dxa"/>
            <w:gridSpan w:val="2"/>
            <w:tcBorders>
              <w:top w:val="single" w:color="000000" w:sz="4" w:space="0"/>
              <w:left w:val="single" w:color="000000" w:sz="4" w:space="0"/>
              <w:bottom w:val="single" w:color="000000" w:sz="4" w:space="0"/>
              <w:right w:val="single" w:color="000000" w:sz="4" w:space="0"/>
            </w:tcBorders>
            <w:noWrap w:val="0"/>
            <w:vAlign w:val="center"/>
          </w:tcPr>
          <w:p w14:paraId="1A5D8DB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pPr>
            <w:r>
              <w:drawing>
                <wp:inline distT="0" distB="0" distL="114300" distR="114300">
                  <wp:extent cx="4671060" cy="4341495"/>
                  <wp:effectExtent l="0" t="0" r="15240" b="190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7"/>
                          <a:stretch>
                            <a:fillRect/>
                          </a:stretch>
                        </pic:blipFill>
                        <pic:spPr>
                          <a:xfrm>
                            <a:off x="0" y="0"/>
                            <a:ext cx="4671060" cy="4341495"/>
                          </a:xfrm>
                          <a:prstGeom prst="rect">
                            <a:avLst/>
                          </a:prstGeom>
                          <a:noFill/>
                          <a:ln>
                            <a:noFill/>
                          </a:ln>
                        </pic:spPr>
                      </pic:pic>
                    </a:graphicData>
                  </a:graphic>
                </wp:inline>
              </w:drawing>
            </w:r>
          </w:p>
          <w:p w14:paraId="181C1E54">
            <w:pPr>
              <w:rPr>
                <w:rFonts w:hint="eastAsia"/>
                <w:lang w:val="en-US" w:eastAsia="zh-CN"/>
              </w:rPr>
            </w:pPr>
          </w:p>
        </w:tc>
      </w:tr>
      <w:tr w14:paraId="0C228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1" w:type="dxa"/>
            <w:tcBorders>
              <w:top w:val="single" w:color="000000" w:sz="4" w:space="0"/>
              <w:left w:val="single" w:color="000000" w:sz="4" w:space="0"/>
              <w:bottom w:val="single" w:color="000000" w:sz="4" w:space="0"/>
              <w:right w:val="single" w:color="000000" w:sz="4" w:space="0"/>
            </w:tcBorders>
            <w:noWrap w:val="0"/>
            <w:vAlign w:val="center"/>
          </w:tcPr>
          <w:p w14:paraId="115F753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4</w:t>
            </w:r>
          </w:p>
        </w:tc>
        <w:tc>
          <w:tcPr>
            <w:tcW w:w="8601" w:type="dxa"/>
            <w:tcBorders>
              <w:top w:val="single" w:color="000000" w:sz="4" w:space="0"/>
              <w:left w:val="single" w:color="000000" w:sz="4" w:space="0"/>
              <w:bottom w:val="single" w:color="000000" w:sz="4" w:space="0"/>
              <w:right w:val="single" w:color="000000" w:sz="4" w:space="0"/>
            </w:tcBorders>
            <w:noWrap w:val="0"/>
            <w:vAlign w:val="center"/>
          </w:tcPr>
          <w:p w14:paraId="70DBC04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定制24小时书吧背景墙</w:t>
            </w:r>
          </w:p>
        </w:tc>
      </w:tr>
      <w:tr w14:paraId="21BA2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332" w:type="dxa"/>
            <w:gridSpan w:val="2"/>
            <w:tcBorders>
              <w:top w:val="single" w:color="000000" w:sz="4" w:space="0"/>
              <w:left w:val="single" w:color="000000" w:sz="4" w:space="0"/>
              <w:bottom w:val="single" w:color="000000" w:sz="4" w:space="0"/>
              <w:right w:val="single" w:color="000000" w:sz="4" w:space="0"/>
            </w:tcBorders>
            <w:noWrap w:val="0"/>
            <w:vAlign w:val="center"/>
          </w:tcPr>
          <w:p w14:paraId="5EBD571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lang w:val="en-US" w:eastAsia="zh-CN"/>
              </w:rPr>
            </w:pPr>
            <w:r>
              <w:drawing>
                <wp:inline distT="0" distB="0" distL="114300" distR="114300">
                  <wp:extent cx="5473065" cy="3208020"/>
                  <wp:effectExtent l="0" t="0" r="13335" b="1143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8"/>
                          <a:stretch>
                            <a:fillRect/>
                          </a:stretch>
                        </pic:blipFill>
                        <pic:spPr>
                          <a:xfrm>
                            <a:off x="0" y="0"/>
                            <a:ext cx="5473065" cy="3208020"/>
                          </a:xfrm>
                          <a:prstGeom prst="rect">
                            <a:avLst/>
                          </a:prstGeom>
                          <a:noFill/>
                          <a:ln>
                            <a:noFill/>
                          </a:ln>
                        </pic:spPr>
                      </pic:pic>
                    </a:graphicData>
                  </a:graphic>
                </wp:inline>
              </w:drawing>
            </w:r>
          </w:p>
        </w:tc>
      </w:tr>
      <w:tr w14:paraId="2FE58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1" w:type="dxa"/>
            <w:tcBorders>
              <w:top w:val="single" w:color="000000" w:sz="4" w:space="0"/>
              <w:left w:val="single" w:color="000000" w:sz="4" w:space="0"/>
              <w:bottom w:val="single" w:color="000000" w:sz="4" w:space="0"/>
              <w:right w:val="single" w:color="000000" w:sz="4" w:space="0"/>
            </w:tcBorders>
            <w:noWrap w:val="0"/>
            <w:vAlign w:val="center"/>
          </w:tcPr>
          <w:p w14:paraId="53B64AC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5</w:t>
            </w:r>
          </w:p>
        </w:tc>
        <w:tc>
          <w:tcPr>
            <w:tcW w:w="8601" w:type="dxa"/>
            <w:tcBorders>
              <w:top w:val="single" w:color="000000" w:sz="4" w:space="0"/>
              <w:left w:val="single" w:color="000000" w:sz="4" w:space="0"/>
              <w:bottom w:val="single" w:color="000000" w:sz="4" w:space="0"/>
              <w:right w:val="single" w:color="000000" w:sz="4" w:space="0"/>
            </w:tcBorders>
            <w:noWrap w:val="0"/>
            <w:vAlign w:val="center"/>
          </w:tcPr>
          <w:p w14:paraId="61B9E02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定制24小时书吧背景文化造型</w:t>
            </w:r>
          </w:p>
        </w:tc>
      </w:tr>
      <w:tr w14:paraId="3B929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332" w:type="dxa"/>
            <w:gridSpan w:val="2"/>
            <w:tcBorders>
              <w:top w:val="single" w:color="000000" w:sz="4" w:space="0"/>
              <w:left w:val="single" w:color="000000" w:sz="4" w:space="0"/>
              <w:bottom w:val="single" w:color="000000" w:sz="4" w:space="0"/>
              <w:right w:val="single" w:color="000000" w:sz="4" w:space="0"/>
            </w:tcBorders>
            <w:noWrap w:val="0"/>
            <w:vAlign w:val="center"/>
          </w:tcPr>
          <w:p w14:paraId="3A8B380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drawing>
                <wp:inline distT="0" distB="0" distL="114300" distR="114300">
                  <wp:extent cx="5778500" cy="1952625"/>
                  <wp:effectExtent l="0" t="0" r="12700" b="9525"/>
                  <wp:docPr id="4" name="图片 4" descr="235da8642e441f30903145f27ebe6c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35da8642e441f30903145f27ebe6cb9"/>
                          <pic:cNvPicPr>
                            <a:picLocks noChangeAspect="1"/>
                          </pic:cNvPicPr>
                        </pic:nvPicPr>
                        <pic:blipFill>
                          <a:blip r:embed="rId9"/>
                          <a:stretch>
                            <a:fillRect/>
                          </a:stretch>
                        </pic:blipFill>
                        <pic:spPr>
                          <a:xfrm>
                            <a:off x="0" y="0"/>
                            <a:ext cx="5778500" cy="1952625"/>
                          </a:xfrm>
                          <a:prstGeom prst="rect">
                            <a:avLst/>
                          </a:prstGeom>
                          <a:noFill/>
                          <a:ln>
                            <a:noFill/>
                          </a:ln>
                        </pic:spPr>
                      </pic:pic>
                    </a:graphicData>
                  </a:graphic>
                </wp:inline>
              </w:drawing>
            </w:r>
          </w:p>
        </w:tc>
      </w:tr>
      <w:tr w14:paraId="1ADF1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1" w:type="dxa"/>
            <w:tcBorders>
              <w:top w:val="single" w:color="000000" w:sz="4" w:space="0"/>
              <w:left w:val="single" w:color="000000" w:sz="4" w:space="0"/>
              <w:bottom w:val="single" w:color="000000" w:sz="4" w:space="0"/>
              <w:right w:val="single" w:color="000000" w:sz="4" w:space="0"/>
            </w:tcBorders>
            <w:noWrap w:val="0"/>
            <w:vAlign w:val="center"/>
          </w:tcPr>
          <w:p w14:paraId="0C35FDF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6</w:t>
            </w:r>
          </w:p>
        </w:tc>
        <w:tc>
          <w:tcPr>
            <w:tcW w:w="8601" w:type="dxa"/>
            <w:tcBorders>
              <w:top w:val="single" w:color="000000" w:sz="4" w:space="0"/>
              <w:left w:val="single" w:color="000000" w:sz="4" w:space="0"/>
              <w:bottom w:val="single" w:color="000000" w:sz="4" w:space="0"/>
              <w:right w:val="single" w:color="000000" w:sz="4" w:space="0"/>
            </w:tcBorders>
            <w:noWrap w:val="0"/>
            <w:vAlign w:val="center"/>
          </w:tcPr>
          <w:p w14:paraId="7670DCB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矮凳</w:t>
            </w:r>
          </w:p>
        </w:tc>
      </w:tr>
      <w:tr w14:paraId="28569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332" w:type="dxa"/>
            <w:gridSpan w:val="2"/>
            <w:tcBorders>
              <w:top w:val="single" w:color="000000" w:sz="4" w:space="0"/>
              <w:left w:val="single" w:color="000000" w:sz="4" w:space="0"/>
              <w:bottom w:val="single" w:color="000000" w:sz="4" w:space="0"/>
              <w:right w:val="single" w:color="000000" w:sz="4" w:space="0"/>
            </w:tcBorders>
            <w:noWrap w:val="0"/>
            <w:vAlign w:val="center"/>
          </w:tcPr>
          <w:p w14:paraId="5CE8290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drawing>
                <wp:inline distT="0" distB="0" distL="114300" distR="114300">
                  <wp:extent cx="4211955" cy="2455545"/>
                  <wp:effectExtent l="0" t="0" r="17145" b="1905"/>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10"/>
                          <a:stretch>
                            <a:fillRect/>
                          </a:stretch>
                        </pic:blipFill>
                        <pic:spPr>
                          <a:xfrm>
                            <a:off x="0" y="0"/>
                            <a:ext cx="4211955" cy="2455545"/>
                          </a:xfrm>
                          <a:prstGeom prst="rect">
                            <a:avLst/>
                          </a:prstGeom>
                          <a:noFill/>
                          <a:ln>
                            <a:noFill/>
                          </a:ln>
                        </pic:spPr>
                      </pic:pic>
                    </a:graphicData>
                  </a:graphic>
                </wp:inline>
              </w:drawing>
            </w:r>
          </w:p>
        </w:tc>
      </w:tr>
      <w:tr w14:paraId="0E92D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1" w:type="dxa"/>
            <w:tcBorders>
              <w:top w:val="single" w:color="000000" w:sz="4" w:space="0"/>
              <w:left w:val="single" w:color="000000" w:sz="4" w:space="0"/>
              <w:bottom w:val="single" w:color="000000" w:sz="4" w:space="0"/>
              <w:right w:val="single" w:color="000000" w:sz="4" w:space="0"/>
            </w:tcBorders>
            <w:noWrap w:val="0"/>
            <w:vAlign w:val="center"/>
          </w:tcPr>
          <w:p w14:paraId="1FEF18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7</w:t>
            </w:r>
          </w:p>
        </w:tc>
        <w:tc>
          <w:tcPr>
            <w:tcW w:w="8601" w:type="dxa"/>
            <w:tcBorders>
              <w:top w:val="single" w:color="000000" w:sz="4" w:space="0"/>
              <w:left w:val="single" w:color="000000" w:sz="4" w:space="0"/>
              <w:bottom w:val="single" w:color="000000" w:sz="4" w:space="0"/>
              <w:right w:val="single" w:color="000000" w:sz="4" w:space="0"/>
            </w:tcBorders>
            <w:noWrap w:val="0"/>
            <w:vAlign w:val="center"/>
          </w:tcPr>
          <w:p w14:paraId="66E01F1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通道闸机</w:t>
            </w:r>
          </w:p>
        </w:tc>
      </w:tr>
      <w:tr w14:paraId="726D9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332" w:type="dxa"/>
            <w:gridSpan w:val="2"/>
            <w:tcBorders>
              <w:top w:val="single" w:color="000000" w:sz="4" w:space="0"/>
              <w:left w:val="single" w:color="000000" w:sz="4" w:space="0"/>
              <w:bottom w:val="single" w:color="000000" w:sz="4" w:space="0"/>
              <w:right w:val="single" w:color="000000" w:sz="4" w:space="0"/>
            </w:tcBorders>
            <w:noWrap w:val="0"/>
            <w:vAlign w:val="center"/>
          </w:tcPr>
          <w:p w14:paraId="471F4FA3">
            <w:pPr>
              <w:pStyle w:val="7"/>
              <w:keepNext w:val="0"/>
              <w:keepLines w:val="0"/>
              <w:pageBreakBefore w:val="0"/>
              <w:kinsoku/>
              <w:wordWrap/>
              <w:overflowPunct/>
              <w:topLinePunct w:val="0"/>
              <w:autoSpaceDE/>
              <w:autoSpaceDN/>
              <w:bidi w:val="0"/>
              <w:adjustRightInd/>
              <w:snapToGrid/>
              <w:spacing w:line="240" w:lineRule="auto"/>
              <w:jc w:val="center"/>
              <w:rPr>
                <w:rFonts w:hint="eastAsia"/>
                <w:lang w:val="en-US" w:eastAsia="zh-CN"/>
              </w:rPr>
            </w:pPr>
            <w:r>
              <w:drawing>
                <wp:inline distT="0" distB="0" distL="114300" distR="114300">
                  <wp:extent cx="2773680" cy="2328545"/>
                  <wp:effectExtent l="0" t="0" r="7620" b="14605"/>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11"/>
                          <a:stretch>
                            <a:fillRect/>
                          </a:stretch>
                        </pic:blipFill>
                        <pic:spPr>
                          <a:xfrm>
                            <a:off x="0" y="0"/>
                            <a:ext cx="2773680" cy="2328545"/>
                          </a:xfrm>
                          <a:prstGeom prst="rect">
                            <a:avLst/>
                          </a:prstGeom>
                          <a:noFill/>
                          <a:ln>
                            <a:noFill/>
                          </a:ln>
                        </pic:spPr>
                      </pic:pic>
                    </a:graphicData>
                  </a:graphic>
                </wp:inline>
              </w:drawing>
            </w:r>
          </w:p>
        </w:tc>
      </w:tr>
    </w:tbl>
    <w:p w14:paraId="3A6A4E8B">
      <w:pPr>
        <w:pStyle w:val="7"/>
        <w:rPr>
          <w:rFonts w:hint="eastAsia" w:ascii="仿宋" w:hAnsi="仿宋" w:eastAsia="仿宋" w:cs="仿宋"/>
          <w:vanish/>
          <w:sz w:val="18"/>
        </w:rPr>
      </w:pPr>
    </w:p>
    <w:sectPr>
      <w:footerReference r:id="rId3" w:type="default"/>
      <w:pgSz w:w="11906" w:h="16838"/>
      <w:pgMar w:top="1803" w:right="1440" w:bottom="1803" w:left="144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F3215">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FE7776">
                          <w:pPr>
                            <w:pStyle w:val="8"/>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rPr>
                            <w:t xml:space="preserve"> 页 共 </w:t>
                          </w:r>
                          <w:r>
                            <w:rPr>
                              <w:rFonts w:hint="eastAsia" w:ascii="仿宋" w:hAnsi="仿宋" w:eastAsia="仿宋" w:cs="仿宋"/>
                            </w:rPr>
                            <w:fldChar w:fldCharType="begin"/>
                          </w:r>
                          <w:r>
                            <w:rPr>
                              <w:rFonts w:hint="eastAsia" w:ascii="仿宋" w:hAnsi="仿宋" w:eastAsia="仿宋" w:cs="仿宋"/>
                            </w:rPr>
                            <w:instrText xml:space="preserve"> NUMPAGES  \* MERGEFORMAT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FE7776">
                    <w:pPr>
                      <w:pStyle w:val="8"/>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rPr>
                      <w:t xml:space="preserve"> 页 共 </w:t>
                    </w:r>
                    <w:r>
                      <w:rPr>
                        <w:rFonts w:hint="eastAsia" w:ascii="仿宋" w:hAnsi="仿宋" w:eastAsia="仿宋" w:cs="仿宋"/>
                      </w:rPr>
                      <w:fldChar w:fldCharType="begin"/>
                    </w:r>
                    <w:r>
                      <w:rPr>
                        <w:rFonts w:hint="eastAsia" w:ascii="仿宋" w:hAnsi="仿宋" w:eastAsia="仿宋" w:cs="仿宋"/>
                      </w:rPr>
                      <w:instrText xml:space="preserve"> NUMPAGES  \* MERGEFORMAT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A96233"/>
    <w:multiLevelType w:val="singleLevel"/>
    <w:tmpl w:val="29A96233"/>
    <w:lvl w:ilvl="0" w:tentative="0">
      <w:start w:val="1"/>
      <w:numFmt w:val="decimal"/>
      <w:suff w:val="nothing"/>
      <w:lvlText w:val="%1、"/>
      <w:lvlJc w:val="left"/>
    </w:lvl>
  </w:abstractNum>
  <w:abstractNum w:abstractNumId="1">
    <w:nsid w:val="661CD300"/>
    <w:multiLevelType w:val="multilevel"/>
    <w:tmpl w:val="661CD300"/>
    <w:lvl w:ilvl="0" w:tentative="0">
      <w:start w:val="1"/>
      <w:numFmt w:val="chineseCounting"/>
      <w:pStyle w:val="2"/>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FjZDc3NmJkNTI4YWEyNzdhMDg1MTc5YTUwNDk3YWQifQ=="/>
    <w:docVar w:name="KSO_WPS_MARK_KEY" w:val="282cb491-3d58-4056-a439-ac7a9b3e194f"/>
  </w:docVars>
  <w:rsids>
    <w:rsidRoot w:val="4ADA413D"/>
    <w:rsid w:val="002904CE"/>
    <w:rsid w:val="00774B2A"/>
    <w:rsid w:val="007D2167"/>
    <w:rsid w:val="00D839B1"/>
    <w:rsid w:val="01881DB2"/>
    <w:rsid w:val="019B2DF5"/>
    <w:rsid w:val="01D12964"/>
    <w:rsid w:val="02716E2E"/>
    <w:rsid w:val="028A5E3B"/>
    <w:rsid w:val="02A0095B"/>
    <w:rsid w:val="03023D4F"/>
    <w:rsid w:val="03346900"/>
    <w:rsid w:val="03807F5B"/>
    <w:rsid w:val="03A8383D"/>
    <w:rsid w:val="040F0373"/>
    <w:rsid w:val="04C468F1"/>
    <w:rsid w:val="04D7691E"/>
    <w:rsid w:val="053C4603"/>
    <w:rsid w:val="06213592"/>
    <w:rsid w:val="06337F92"/>
    <w:rsid w:val="06426A49"/>
    <w:rsid w:val="06A17CEC"/>
    <w:rsid w:val="07A6538D"/>
    <w:rsid w:val="07E546C0"/>
    <w:rsid w:val="08643557"/>
    <w:rsid w:val="0933360E"/>
    <w:rsid w:val="09555B14"/>
    <w:rsid w:val="09A9252A"/>
    <w:rsid w:val="09BB53DC"/>
    <w:rsid w:val="09C04A29"/>
    <w:rsid w:val="09D35823"/>
    <w:rsid w:val="0B7369B6"/>
    <w:rsid w:val="0BAC05B0"/>
    <w:rsid w:val="0C0E58B2"/>
    <w:rsid w:val="0C253AE3"/>
    <w:rsid w:val="0D640404"/>
    <w:rsid w:val="0DA344B8"/>
    <w:rsid w:val="0DBE796E"/>
    <w:rsid w:val="0ECC4CFD"/>
    <w:rsid w:val="0EE45927"/>
    <w:rsid w:val="0FAD0213"/>
    <w:rsid w:val="0FB104B9"/>
    <w:rsid w:val="0FC07C07"/>
    <w:rsid w:val="10E71D41"/>
    <w:rsid w:val="10F8611A"/>
    <w:rsid w:val="11C91129"/>
    <w:rsid w:val="11CA0EDC"/>
    <w:rsid w:val="121B784B"/>
    <w:rsid w:val="127D7C9F"/>
    <w:rsid w:val="137A4E5F"/>
    <w:rsid w:val="154919E8"/>
    <w:rsid w:val="157519F4"/>
    <w:rsid w:val="166A2BFD"/>
    <w:rsid w:val="16B713B7"/>
    <w:rsid w:val="182E1407"/>
    <w:rsid w:val="188C0212"/>
    <w:rsid w:val="18FF12B5"/>
    <w:rsid w:val="19C91205"/>
    <w:rsid w:val="1A201171"/>
    <w:rsid w:val="1A20711F"/>
    <w:rsid w:val="1B1221A5"/>
    <w:rsid w:val="1B3040C3"/>
    <w:rsid w:val="1B942DC7"/>
    <w:rsid w:val="1BA60CCD"/>
    <w:rsid w:val="1C1B1BC3"/>
    <w:rsid w:val="1C5A13AB"/>
    <w:rsid w:val="1C9A613C"/>
    <w:rsid w:val="1D4647EE"/>
    <w:rsid w:val="1DC63728"/>
    <w:rsid w:val="1F0123AF"/>
    <w:rsid w:val="1F30386C"/>
    <w:rsid w:val="20163551"/>
    <w:rsid w:val="2056794C"/>
    <w:rsid w:val="20A45C1F"/>
    <w:rsid w:val="214B5966"/>
    <w:rsid w:val="21A14322"/>
    <w:rsid w:val="22690B4C"/>
    <w:rsid w:val="22EB099D"/>
    <w:rsid w:val="235113FD"/>
    <w:rsid w:val="23531B69"/>
    <w:rsid w:val="24A0512E"/>
    <w:rsid w:val="2586552D"/>
    <w:rsid w:val="260A3C78"/>
    <w:rsid w:val="26371E19"/>
    <w:rsid w:val="2638421C"/>
    <w:rsid w:val="274F74BE"/>
    <w:rsid w:val="277C4623"/>
    <w:rsid w:val="28914715"/>
    <w:rsid w:val="2952169A"/>
    <w:rsid w:val="29544C34"/>
    <w:rsid w:val="29C737D9"/>
    <w:rsid w:val="2A00010F"/>
    <w:rsid w:val="2A356025"/>
    <w:rsid w:val="2ABC78C4"/>
    <w:rsid w:val="2B5A3C59"/>
    <w:rsid w:val="2B770CE7"/>
    <w:rsid w:val="2BFF1A42"/>
    <w:rsid w:val="2C9C69AA"/>
    <w:rsid w:val="2CA73C4E"/>
    <w:rsid w:val="2D7233CB"/>
    <w:rsid w:val="2D83204D"/>
    <w:rsid w:val="2E737CEC"/>
    <w:rsid w:val="2E7A6E58"/>
    <w:rsid w:val="2EB95C88"/>
    <w:rsid w:val="31096053"/>
    <w:rsid w:val="31DD7FC5"/>
    <w:rsid w:val="31F273B3"/>
    <w:rsid w:val="322F41C5"/>
    <w:rsid w:val="32430995"/>
    <w:rsid w:val="326F4A49"/>
    <w:rsid w:val="32762360"/>
    <w:rsid w:val="3352309A"/>
    <w:rsid w:val="338B5948"/>
    <w:rsid w:val="33AB4CE9"/>
    <w:rsid w:val="33EF22D9"/>
    <w:rsid w:val="342632E4"/>
    <w:rsid w:val="34A00519"/>
    <w:rsid w:val="34A80E89"/>
    <w:rsid w:val="35C971DE"/>
    <w:rsid w:val="36E44BCC"/>
    <w:rsid w:val="372868A1"/>
    <w:rsid w:val="37C579A2"/>
    <w:rsid w:val="37F16F81"/>
    <w:rsid w:val="392F158D"/>
    <w:rsid w:val="395E146A"/>
    <w:rsid w:val="39875868"/>
    <w:rsid w:val="3A3A37F4"/>
    <w:rsid w:val="3B362E44"/>
    <w:rsid w:val="3B3F3351"/>
    <w:rsid w:val="3B687B24"/>
    <w:rsid w:val="3C7523B0"/>
    <w:rsid w:val="3CC1149A"/>
    <w:rsid w:val="3DA665FD"/>
    <w:rsid w:val="3E3A6160"/>
    <w:rsid w:val="3E511C10"/>
    <w:rsid w:val="3E90367C"/>
    <w:rsid w:val="3EDD57E4"/>
    <w:rsid w:val="3F724253"/>
    <w:rsid w:val="3F9C401C"/>
    <w:rsid w:val="3FDF6227"/>
    <w:rsid w:val="412E07BF"/>
    <w:rsid w:val="422C59BA"/>
    <w:rsid w:val="428B6EED"/>
    <w:rsid w:val="42B5216D"/>
    <w:rsid w:val="42D03AD9"/>
    <w:rsid w:val="43982793"/>
    <w:rsid w:val="43E17541"/>
    <w:rsid w:val="43F16FE5"/>
    <w:rsid w:val="44251DBB"/>
    <w:rsid w:val="44660632"/>
    <w:rsid w:val="44E147DB"/>
    <w:rsid w:val="45BB349E"/>
    <w:rsid w:val="45DF7B62"/>
    <w:rsid w:val="460D6DFF"/>
    <w:rsid w:val="462B2001"/>
    <w:rsid w:val="4663048D"/>
    <w:rsid w:val="46A52568"/>
    <w:rsid w:val="46B51F5A"/>
    <w:rsid w:val="47874B3A"/>
    <w:rsid w:val="48A92FC4"/>
    <w:rsid w:val="48C93DBE"/>
    <w:rsid w:val="490A3C8A"/>
    <w:rsid w:val="494450E5"/>
    <w:rsid w:val="49720D67"/>
    <w:rsid w:val="49985875"/>
    <w:rsid w:val="4A1F5BC1"/>
    <w:rsid w:val="4A3823C8"/>
    <w:rsid w:val="4AAB3422"/>
    <w:rsid w:val="4ADA413D"/>
    <w:rsid w:val="4B422B1B"/>
    <w:rsid w:val="4BAC6642"/>
    <w:rsid w:val="4BB3697D"/>
    <w:rsid w:val="4BD37BA1"/>
    <w:rsid w:val="4BE614DC"/>
    <w:rsid w:val="4C6648FC"/>
    <w:rsid w:val="4CB9574A"/>
    <w:rsid w:val="4D222078"/>
    <w:rsid w:val="4D700225"/>
    <w:rsid w:val="4F2F6570"/>
    <w:rsid w:val="4F5E1A4C"/>
    <w:rsid w:val="4F7E0D9B"/>
    <w:rsid w:val="4FE97DD0"/>
    <w:rsid w:val="507000EB"/>
    <w:rsid w:val="50A17A14"/>
    <w:rsid w:val="512A228D"/>
    <w:rsid w:val="51AE2127"/>
    <w:rsid w:val="528046BE"/>
    <w:rsid w:val="529146D5"/>
    <w:rsid w:val="532F5C19"/>
    <w:rsid w:val="53B22DBE"/>
    <w:rsid w:val="53CE5114"/>
    <w:rsid w:val="543279B4"/>
    <w:rsid w:val="54E14543"/>
    <w:rsid w:val="552A3876"/>
    <w:rsid w:val="55834AF6"/>
    <w:rsid w:val="55890492"/>
    <w:rsid w:val="560B0A7C"/>
    <w:rsid w:val="561741D7"/>
    <w:rsid w:val="57115133"/>
    <w:rsid w:val="57397002"/>
    <w:rsid w:val="57562581"/>
    <w:rsid w:val="578C0C42"/>
    <w:rsid w:val="57D51ADE"/>
    <w:rsid w:val="58A41235"/>
    <w:rsid w:val="591103B2"/>
    <w:rsid w:val="59656ED2"/>
    <w:rsid w:val="59F20B45"/>
    <w:rsid w:val="5A515460"/>
    <w:rsid w:val="5B2A4BDF"/>
    <w:rsid w:val="5BC05E0D"/>
    <w:rsid w:val="5BCE157F"/>
    <w:rsid w:val="5C434CF4"/>
    <w:rsid w:val="5C58545E"/>
    <w:rsid w:val="5CFB301A"/>
    <w:rsid w:val="5D6858FF"/>
    <w:rsid w:val="5DCC06EE"/>
    <w:rsid w:val="5E6E27ED"/>
    <w:rsid w:val="5E7A576E"/>
    <w:rsid w:val="5EF926D0"/>
    <w:rsid w:val="5FAA3599"/>
    <w:rsid w:val="61336876"/>
    <w:rsid w:val="61897FA0"/>
    <w:rsid w:val="62870328"/>
    <w:rsid w:val="62983792"/>
    <w:rsid w:val="62DD6D73"/>
    <w:rsid w:val="63FE130A"/>
    <w:rsid w:val="64991F9F"/>
    <w:rsid w:val="64CF2B1D"/>
    <w:rsid w:val="64D205EB"/>
    <w:rsid w:val="65695E12"/>
    <w:rsid w:val="66A173A5"/>
    <w:rsid w:val="67675278"/>
    <w:rsid w:val="677441A2"/>
    <w:rsid w:val="680478CA"/>
    <w:rsid w:val="6870228D"/>
    <w:rsid w:val="68D21AA4"/>
    <w:rsid w:val="69100DDF"/>
    <w:rsid w:val="692273AF"/>
    <w:rsid w:val="6946154B"/>
    <w:rsid w:val="699F40C7"/>
    <w:rsid w:val="69B86BC3"/>
    <w:rsid w:val="69BF6D8A"/>
    <w:rsid w:val="69E7270D"/>
    <w:rsid w:val="69F40EC9"/>
    <w:rsid w:val="6A371B63"/>
    <w:rsid w:val="6B227EB4"/>
    <w:rsid w:val="6B2C2D8E"/>
    <w:rsid w:val="6C7A1550"/>
    <w:rsid w:val="6CA42949"/>
    <w:rsid w:val="6CB02F51"/>
    <w:rsid w:val="6CBA0A85"/>
    <w:rsid w:val="6CC74C72"/>
    <w:rsid w:val="6D9A20D2"/>
    <w:rsid w:val="6DC93990"/>
    <w:rsid w:val="6DE73664"/>
    <w:rsid w:val="6DF61FEC"/>
    <w:rsid w:val="6EAF2EA9"/>
    <w:rsid w:val="6F3B2754"/>
    <w:rsid w:val="703028D2"/>
    <w:rsid w:val="704C7CEC"/>
    <w:rsid w:val="706651F6"/>
    <w:rsid w:val="707C7164"/>
    <w:rsid w:val="71306613"/>
    <w:rsid w:val="713A2A96"/>
    <w:rsid w:val="713D62EA"/>
    <w:rsid w:val="715D62A4"/>
    <w:rsid w:val="718830ED"/>
    <w:rsid w:val="71D1086A"/>
    <w:rsid w:val="71D62433"/>
    <w:rsid w:val="72A620B3"/>
    <w:rsid w:val="72BF2E67"/>
    <w:rsid w:val="72D8050D"/>
    <w:rsid w:val="72F36418"/>
    <w:rsid w:val="72F53A1C"/>
    <w:rsid w:val="73273C6E"/>
    <w:rsid w:val="73375202"/>
    <w:rsid w:val="74591F2C"/>
    <w:rsid w:val="74D96962"/>
    <w:rsid w:val="74EB36F4"/>
    <w:rsid w:val="74EB75B6"/>
    <w:rsid w:val="756818C3"/>
    <w:rsid w:val="763710C6"/>
    <w:rsid w:val="76994162"/>
    <w:rsid w:val="76E33276"/>
    <w:rsid w:val="76EF6E9A"/>
    <w:rsid w:val="7711160A"/>
    <w:rsid w:val="78197C43"/>
    <w:rsid w:val="78595AC3"/>
    <w:rsid w:val="78BC2206"/>
    <w:rsid w:val="79195B86"/>
    <w:rsid w:val="79755B4E"/>
    <w:rsid w:val="79D40742"/>
    <w:rsid w:val="79F32C9E"/>
    <w:rsid w:val="7A122433"/>
    <w:rsid w:val="7BA50D74"/>
    <w:rsid w:val="7C4D1CE0"/>
    <w:rsid w:val="7C922176"/>
    <w:rsid w:val="7D935485"/>
    <w:rsid w:val="7DAB2E26"/>
    <w:rsid w:val="7DBA3B6F"/>
    <w:rsid w:val="7DDB0CA3"/>
    <w:rsid w:val="7E101470"/>
    <w:rsid w:val="7F6E43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Lines="0" w:beforeAutospacing="0" w:after="120" w:afterLines="0" w:afterAutospacing="0" w:line="240" w:lineRule="auto"/>
      <w:jc w:val="center"/>
      <w:outlineLvl w:val="0"/>
    </w:pPr>
    <w:rPr>
      <w:rFonts w:ascii="Times New Roman" w:hAnsi="Times New Roman" w:eastAsia="宋体" w:cs="Times New Roman"/>
      <w:b/>
      <w:kern w:val="44"/>
      <w:sz w:val="32"/>
    </w:rPr>
  </w:style>
  <w:style w:type="paragraph" w:styleId="3">
    <w:name w:val="heading 2"/>
    <w:basedOn w:val="1"/>
    <w:next w:val="1"/>
    <w:unhideWhenUsed/>
    <w:qFormat/>
    <w:uiPriority w:val="9"/>
    <w:pPr>
      <w:keepNext/>
      <w:keepLines/>
      <w:spacing w:before="260" w:after="260" w:line="416" w:lineRule="auto"/>
      <w:outlineLvl w:val="1"/>
    </w:pPr>
    <w:rPr>
      <w:rFonts w:ascii="Calibri Light" w:hAnsi="Calibri Light" w:eastAsia="宋体" w:cs="Times New Roman"/>
      <w:b/>
      <w:bCs/>
      <w:sz w:val="32"/>
      <w:szCs w:val="32"/>
    </w:rPr>
  </w:style>
  <w:style w:type="paragraph" w:styleId="4">
    <w:name w:val="heading 3"/>
    <w:basedOn w:val="1"/>
    <w:next w:val="1"/>
    <w:qFormat/>
    <w:uiPriority w:val="0"/>
    <w:pPr>
      <w:keepNext/>
      <w:keepLines/>
      <w:spacing w:before="260" w:after="260" w:line="416" w:lineRule="auto"/>
      <w:outlineLvl w:val="2"/>
    </w:pPr>
    <w:rPr>
      <w:rFonts w:ascii="Calibri" w:hAnsi="Calibri" w:eastAsia="微软雅黑" w:cs="Times New Roman"/>
      <w:b/>
      <w:bCs/>
      <w:sz w:val="32"/>
      <w:szCs w:val="32"/>
    </w:rPr>
  </w:style>
  <w:style w:type="paragraph" w:styleId="5">
    <w:name w:val="heading 4"/>
    <w:basedOn w:val="1"/>
    <w:next w:val="1"/>
    <w:unhideWhenUsed/>
    <w:qFormat/>
    <w:uiPriority w:val="9"/>
    <w:pPr>
      <w:keepNext/>
      <w:keepLines/>
      <w:spacing w:before="280" w:after="290" w:line="376" w:lineRule="auto"/>
      <w:outlineLvl w:val="3"/>
    </w:pPr>
    <w:rPr>
      <w:rFonts w:ascii="Calibri Light" w:hAnsi="Calibri Light" w:eastAsia="宋体" w:cs="Times New Roman"/>
      <w:b/>
      <w:bCs/>
      <w:sz w:val="28"/>
      <w:szCs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annotation text"/>
    <w:basedOn w:val="1"/>
    <w:unhideWhenUsed/>
    <w:qFormat/>
    <w:uiPriority w:val="99"/>
    <w:pPr>
      <w:autoSpaceDE w:val="0"/>
      <w:autoSpaceDN w:val="0"/>
      <w:adjustRightInd w:val="0"/>
      <w:jc w:val="left"/>
    </w:pPr>
    <w:rPr>
      <w:rFonts w:ascii="Times New Roman" w:hAnsi="Times New Roman" w:eastAsia="宋体" w:cs="Times New Roman"/>
      <w:kern w:val="0"/>
      <w:sz w:val="24"/>
    </w:rPr>
  </w:style>
  <w:style w:type="paragraph" w:styleId="7">
    <w:name w:val="Body Text"/>
    <w:basedOn w:val="1"/>
    <w:next w:val="1"/>
    <w:qFormat/>
    <w:uiPriority w:val="0"/>
    <w:rPr>
      <w:sz w:val="18"/>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Message Header"/>
    <w:basedOn w:val="1"/>
    <w:next w:val="7"/>
    <w:qFormat/>
    <w:uiPriority w:val="0"/>
    <w:pPr>
      <w:pBdr>
        <w:top w:val="none" w:color="auto" w:sz="0" w:space="1"/>
        <w:left w:val="none" w:color="auto" w:sz="0" w:space="1"/>
        <w:bottom w:val="none" w:color="auto" w:sz="0" w:space="1"/>
        <w:right w:val="none" w:color="auto" w:sz="0" w:space="1"/>
      </w:pBdr>
      <w:shd w:val="pct20" w:color="auto" w:fill="auto"/>
      <w:kinsoku w:val="0"/>
      <w:overflowPunct w:val="0"/>
      <w:spacing w:line="360" w:lineRule="auto"/>
    </w:pPr>
    <w:rPr>
      <w:rFonts w:ascii="Arial" w:hAnsi="Arial"/>
      <w:color w:val="000000"/>
      <w:sz w:val="28"/>
      <w:szCs w:val="24"/>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表格文字"/>
    <w:basedOn w:val="1"/>
    <w:next w:val="7"/>
    <w:qFormat/>
    <w:uiPriority w:val="0"/>
    <w:pPr>
      <w:jc w:val="left"/>
    </w:pPr>
    <w:rPr>
      <w:bCs/>
      <w:spacing w:val="10"/>
      <w:kern w:val="0"/>
      <w:sz w:val="24"/>
      <w:szCs w:val="20"/>
    </w:rPr>
  </w:style>
  <w:style w:type="paragraph" w:customStyle="1" w:styleId="1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16">
    <w:name w:val="font21"/>
    <w:basedOn w:val="13"/>
    <w:qFormat/>
    <w:uiPriority w:val="0"/>
    <w:rPr>
      <w:rFonts w:hint="eastAsia" w:ascii="仿宋" w:hAnsi="仿宋" w:eastAsia="仿宋" w:cs="仿宋"/>
      <w:color w:val="000000"/>
      <w:sz w:val="22"/>
      <w:szCs w:val="22"/>
      <w:u w:val="none"/>
    </w:rPr>
  </w:style>
  <w:style w:type="character" w:customStyle="1" w:styleId="17">
    <w:name w:val="font31"/>
    <w:basedOn w:val="13"/>
    <w:qFormat/>
    <w:uiPriority w:val="0"/>
    <w:rPr>
      <w:rFonts w:hint="eastAsia" w:ascii="宋体" w:hAnsi="宋体" w:eastAsia="宋体" w:cs="宋体"/>
      <w:color w:val="000000"/>
      <w:sz w:val="22"/>
      <w:szCs w:val="22"/>
      <w:u w:val="none"/>
    </w:rPr>
  </w:style>
  <w:style w:type="character" w:customStyle="1" w:styleId="18">
    <w:name w:val="NormalCharacter"/>
    <w:semiHidden/>
    <w:qFormat/>
    <w:uiPriority w:val="0"/>
  </w:style>
  <w:style w:type="character" w:customStyle="1" w:styleId="19">
    <w:name w:val="font41"/>
    <w:basedOn w:val="13"/>
    <w:qFormat/>
    <w:uiPriority w:val="0"/>
    <w:rPr>
      <w:rFonts w:hint="eastAsia" w:ascii="宋体" w:hAnsi="宋体" w:eastAsia="宋体" w:cs="宋体"/>
      <w:color w:val="000000"/>
      <w:sz w:val="20"/>
      <w:szCs w:val="20"/>
      <w:u w:val="none"/>
    </w:rPr>
  </w:style>
  <w:style w:type="paragraph" w:styleId="20">
    <w:name w:val="List Paragraph"/>
    <w:basedOn w:val="1"/>
    <w:qFormat/>
    <w:uiPriority w:val="34"/>
    <w:pPr>
      <w:ind w:firstLine="420" w:firstLineChars="200"/>
    </w:pPr>
  </w:style>
  <w:style w:type="paragraph" w:customStyle="1" w:styleId="21">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661</Words>
  <Characters>808</Characters>
  <Lines>0</Lines>
  <Paragraphs>0</Paragraphs>
  <TotalTime>0</TotalTime>
  <ScaleCrop>false</ScaleCrop>
  <LinksUpToDate>false</LinksUpToDate>
  <CharactersWithSpaces>808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2020-05-14T06:19:00Z</dcterms:created>
  <dc:creator>Ricky</dc:creator>
  <cp:lastModifiedBy>淳Rayson</cp:lastModifiedBy>
  <cp:lastPrinted>2023-06-17T04:12:00Z</cp:lastPrinted>
  <dcterms:modified xsi:type="dcterms:W3CDTF">2026-09-07T08:53:52Z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591574A878244F78826131909FDBDBE1_13</vt:lpwstr>
  </property>
  <property fmtid="{D5CDD505-2E9C-101B-9397-08002B2CF9AE}" pid="4" name="KSOTemplateDocerSaveRecord">
    <vt:lpwstr>eyJoZGlkIjoiZmI1ZjZiOGNkYzgyYmE2ZWU0YmJlNGQ3MzJiN2U2MTEiLCJ1c2VySWQiOiI3NDIxOTI4ODYifQ==</vt:lpwstr>
  </property>
</Properties>
</file>